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E141" w14:textId="000326BC" w:rsidR="00227DD3" w:rsidRPr="00227DD3" w:rsidRDefault="00C93AC0" w:rsidP="00227DD3">
      <w:pPr>
        <w:pStyle w:val="Overskrift1"/>
        <w:spacing w:after="120"/>
      </w:pPr>
      <w:r>
        <w:t>Differentiation</w:t>
      </w:r>
      <w:r w:rsidR="00F47065" w:rsidRPr="000D4920">
        <w:t xml:space="preserve"> </w:t>
      </w:r>
      <w:r>
        <w:t>af</w:t>
      </w:r>
      <w:r w:rsidR="00F47065" w:rsidRPr="000D4920">
        <w:t xml:space="preserve"> </w:t>
      </w:r>
      <w:r w:rsidR="001E7219">
        <w:t>kvadratfunktionen</w:t>
      </w:r>
      <w:r w:rsidR="00AB3DEF" w:rsidRPr="000D4920">
        <w:t xml:space="preserve"> uden brug af </w:t>
      </w:r>
      <w:r w:rsidR="00DF1062">
        <w:t>grænseværdi</w:t>
      </w:r>
    </w:p>
    <w:p w14:paraId="7783941A" w14:textId="4DD974DA" w:rsidR="00DF1062" w:rsidRDefault="00BC5FA8" w:rsidP="00227DD3">
      <w:pPr>
        <w:spacing w:after="120"/>
      </w:pPr>
      <w:r w:rsidRPr="0056622D">
        <w:t xml:space="preserve">Et </w:t>
      </w:r>
      <w:r w:rsidR="001E7219">
        <w:t>kvadratfunktionen med</w:t>
      </w:r>
      <w:r w:rsidRPr="0056622D">
        <w:t xml:space="preserve"> forskriften</w:t>
      </w:r>
    </w:p>
    <w:p w14:paraId="3571A503" w14:textId="77777777" w:rsidR="001E7219" w:rsidRPr="0056622D" w:rsidRDefault="001E7219" w:rsidP="00227DD3">
      <w:pPr>
        <w:spacing w:after="120"/>
      </w:pPr>
    </w:p>
    <w:p w14:paraId="04441E65" w14:textId="5CDB4CDE" w:rsidR="00BC5FA8" w:rsidRPr="00227DD3" w:rsidRDefault="00000000" w:rsidP="00BC5FA8"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E12797A" w14:textId="79F3759A" w:rsidR="00DF1062" w:rsidRDefault="00BC5FA8" w:rsidP="00DF1062">
      <w:r w:rsidRPr="0056622D">
        <w:t>og grafen kaldes en parabel.</w:t>
      </w:r>
      <w:r w:rsidR="00227DD3">
        <w:t xml:space="preserve"> </w:t>
      </w:r>
      <w:r w:rsidR="00134603">
        <w:t>En tangent til en parabel kan de</w:t>
      </w:r>
      <w:r w:rsidR="00623011">
        <w:t xml:space="preserve">fineres som den </w:t>
      </w:r>
      <w:r w:rsidR="00D05421">
        <w:t>(ikke lodrette)</w:t>
      </w:r>
      <w:r w:rsidR="00623011">
        <w:t xml:space="preserve"> linje,</w:t>
      </w:r>
      <w:r w:rsidR="00134603">
        <w:t xml:space="preserve"> der kun har et punkt fælles med parablen. Tangenthældningen til parablen opfattes som </w:t>
      </w:r>
      <w:r w:rsidR="00166A08">
        <w:t>en ny funktion, der</w:t>
      </w:r>
      <w:r w:rsidR="009A7659">
        <w:t xml:space="preserve"> betegnes</w:t>
      </w:r>
      <w:r w:rsidR="009A7659" w:rsidRPr="009A7659">
        <w:rPr>
          <w:i/>
        </w:rPr>
        <w:t xml:space="preserve"> f</w:t>
      </w:r>
      <w:r w:rsidR="009A7659">
        <w:t xml:space="preserve"> ’(</w:t>
      </w:r>
      <w:r w:rsidR="009A7659" w:rsidRPr="009A7659">
        <w:rPr>
          <w:i/>
        </w:rPr>
        <w:t>x</w:t>
      </w:r>
      <w:r w:rsidR="009A7659">
        <w:t>)</w:t>
      </w:r>
      <w:r w:rsidR="00DF1062">
        <w:t xml:space="preserve">, der kan findes ved at kræve, at den lineære funktion </w:t>
      </w:r>
    </w:p>
    <w:p w14:paraId="1B31DE9B" w14:textId="77777777" w:rsidR="00DF1062" w:rsidRPr="00227DD3" w:rsidRDefault="00DF1062" w:rsidP="00DF1062">
      <m:oMathPara>
        <m:oMathParaPr>
          <m:jc m:val="center"/>
        </m:oMathParaPr>
        <m:oMath>
          <m:r>
            <w:rPr>
              <w:rFonts w:ascii="Cambria Math" w:hAnsi="Cambria Math"/>
            </w:rPr>
            <m:t>t(x)=A∙x+B</m:t>
          </m:r>
        </m:oMath>
      </m:oMathPara>
    </w:p>
    <w:p w14:paraId="093DFAE5" w14:textId="77F711A8" w:rsidR="00F47065" w:rsidRDefault="00DF1062" w:rsidP="00227DD3">
      <w:r>
        <w:t>kun har et punkt fælles med</w:t>
      </w:r>
      <w:r w:rsidR="001E7219">
        <w:t xml:space="preserve"> </w:t>
      </w:r>
      <w:proofErr w:type="gramStart"/>
      <w:r w:rsidR="001E7219">
        <w:t>kvadratfunktionen</w:t>
      </w:r>
      <w:r>
        <w:t xml:space="preserve"> ,</w:t>
      </w:r>
      <w:proofErr w:type="gramEnd"/>
      <w:r>
        <w:t xml:space="preserve"> dvs. at nedenstående ligning kun har løsning</w:t>
      </w:r>
    </w:p>
    <w:p w14:paraId="7513D9C2" w14:textId="3E081E25" w:rsidR="00DF1062" w:rsidRPr="00227DD3" w:rsidRDefault="00000000" w:rsidP="00DF1062"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=A∙x+B</m:t>
          </m:r>
        </m:oMath>
      </m:oMathPara>
    </w:p>
    <w:p w14:paraId="451DB4CA" w14:textId="7D6683C3" w:rsidR="00DF1062" w:rsidRDefault="00DF1062" w:rsidP="00DF1062">
      <w:r>
        <w:t>der kan omskrives til an andengradsligning på standardform</w:t>
      </w:r>
    </w:p>
    <w:p w14:paraId="41B460FF" w14:textId="308AE8A5" w:rsidR="00DF1062" w:rsidRPr="00227DD3" w:rsidRDefault="00000000" w:rsidP="00DF1062"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  <w:color w:val="00B050"/>
            </w:rPr>
            <m:t>A</m:t>
          </m:r>
          <m:r>
            <w:rPr>
              <w:rFonts w:ascii="Cambria Math" w:hAnsi="Cambria Math"/>
            </w:rPr>
            <m:t>∙x-B=0</m:t>
          </m:r>
        </m:oMath>
      </m:oMathPara>
    </w:p>
    <w:p w14:paraId="3FF9F486" w14:textId="77777777" w:rsidR="00DF1062" w:rsidRDefault="00DF1062" w:rsidP="00DF1062">
      <w:r>
        <w:t xml:space="preserve">ved at sætte diskriminanten lig 0, fås løsningen </w:t>
      </w:r>
      <w:r w:rsidRPr="00623011">
        <w:rPr>
          <w:i/>
        </w:rPr>
        <w:t>x</w:t>
      </w:r>
    </w:p>
    <w:p w14:paraId="73268301" w14:textId="2B5D047F" w:rsidR="00DF1062" w:rsidRPr="00227DD3" w:rsidRDefault="00DF1062" w:rsidP="00DF1062">
      <m:oMathPara>
        <m:oMathParaPr>
          <m:jc m:val="center"/>
        </m:oMathParaPr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-b</m:t>
              </m:r>
            </m:num>
            <m:den>
              <m:r>
                <w:rPr>
                  <w:rFonts w:ascii="Cambria Math" w:hAnsi="Cambria Math"/>
                </w:rPr>
                <m:t>2∙</m:t>
              </m:r>
              <m:r>
                <w:rPr>
                  <w:rFonts w:ascii="Cambria Math" w:hAnsi="Cambria Math"/>
                  <w:color w:val="000000" w:themeColor="text1"/>
                </w:rPr>
                <m:t>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00B050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2∙</m:t>
              </m:r>
              <m:r>
                <w:rPr>
                  <w:rFonts w:ascii="Cambria Math" w:hAnsi="Cambria Math"/>
                  <w:color w:val="000000" w:themeColor="text1"/>
                </w:rPr>
                <m:t>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  <w:color w:val="00B050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277CC4C3" w14:textId="77777777" w:rsidR="00DF1062" w:rsidRDefault="00DF1062" w:rsidP="00DF1062">
      <w:r>
        <w:t xml:space="preserve">og dermed </w:t>
      </w:r>
    </w:p>
    <w:p w14:paraId="78952901" w14:textId="5F5841B1" w:rsidR="00DF1062" w:rsidRPr="00227DD3" w:rsidRDefault="00DF1062" w:rsidP="00DF1062">
      <m:oMathPara>
        <m:oMathParaPr>
          <m:jc m:val="center"/>
        </m:oMathParaPr>
        <m:oMath>
          <m:r>
            <w:rPr>
              <w:rFonts w:ascii="Cambria Math" w:hAnsi="Cambria Math"/>
            </w:rPr>
            <m:t>A=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=2x</m:t>
          </m:r>
        </m:oMath>
      </m:oMathPara>
    </w:p>
    <w:p w14:paraId="126D419B" w14:textId="06357A2A" w:rsidR="001039D0" w:rsidRDefault="001039D0" w:rsidP="001039D0">
      <w:r>
        <w:t>Kilde</w:t>
      </w:r>
    </w:p>
    <w:p w14:paraId="047AA41D" w14:textId="77777777" w:rsidR="001039D0" w:rsidRDefault="001039D0" w:rsidP="001039D0">
      <w:r>
        <w:t>Jens Carstensen, Differentiation uden grænseværdi, LMFK bladet nr. 1, januar 2009</w:t>
      </w:r>
    </w:p>
    <w:p w14:paraId="4A7555E6" w14:textId="77777777" w:rsidR="001039D0" w:rsidRPr="00227DD3" w:rsidRDefault="001039D0" w:rsidP="002F6553"/>
    <w:p w14:paraId="750EAE53" w14:textId="77777777" w:rsidR="00134603" w:rsidRDefault="00134603"/>
    <w:sectPr w:rsidR="00134603" w:rsidSect="001923C0">
      <w:footerReference w:type="even" r:id="rId7"/>
      <w:footerReference w:type="default" r:id="rId8"/>
      <w:pgSz w:w="11900" w:h="16840"/>
      <w:pgMar w:top="1701" w:right="1134" w:bottom="170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9EE6" w14:textId="77777777" w:rsidR="00971A1A" w:rsidRDefault="00971A1A" w:rsidP="000D4920">
      <w:pPr>
        <w:spacing w:after="0"/>
      </w:pPr>
      <w:r>
        <w:separator/>
      </w:r>
    </w:p>
  </w:endnote>
  <w:endnote w:type="continuationSeparator" w:id="0">
    <w:p w14:paraId="2D3FF617" w14:textId="77777777" w:rsidR="00971A1A" w:rsidRDefault="00971A1A" w:rsidP="000D49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725570863"/>
      <w:docPartObj>
        <w:docPartGallery w:val="Page Numbers (Bottom of Page)"/>
        <w:docPartUnique/>
      </w:docPartObj>
    </w:sdtPr>
    <w:sdtContent>
      <w:p w14:paraId="1DBC0B1B" w14:textId="51A081C8" w:rsidR="000D4920" w:rsidRDefault="000D4920" w:rsidP="00E13DF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18981721" w14:textId="77777777" w:rsidR="000D4920" w:rsidRDefault="000D4920" w:rsidP="000D492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849837721"/>
      <w:docPartObj>
        <w:docPartGallery w:val="Page Numbers (Bottom of Page)"/>
        <w:docPartUnique/>
      </w:docPartObj>
    </w:sdtPr>
    <w:sdtContent>
      <w:p w14:paraId="3BB2DB40" w14:textId="60BFC630" w:rsidR="000D4920" w:rsidRDefault="000D4920" w:rsidP="00E13DF3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2AE559CD" w14:textId="77777777" w:rsidR="000D4920" w:rsidRDefault="000D4920" w:rsidP="000D492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FCC64" w14:textId="77777777" w:rsidR="00971A1A" w:rsidRDefault="00971A1A" w:rsidP="000D4920">
      <w:pPr>
        <w:spacing w:after="0"/>
      </w:pPr>
      <w:r>
        <w:separator/>
      </w:r>
    </w:p>
  </w:footnote>
  <w:footnote w:type="continuationSeparator" w:id="0">
    <w:p w14:paraId="4E4969F2" w14:textId="77777777" w:rsidR="00971A1A" w:rsidRDefault="00971A1A" w:rsidP="000D49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FFA"/>
    <w:multiLevelType w:val="hybridMultilevel"/>
    <w:tmpl w:val="99D8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B4431"/>
    <w:multiLevelType w:val="multilevel"/>
    <w:tmpl w:val="9332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B467C"/>
    <w:multiLevelType w:val="hybridMultilevel"/>
    <w:tmpl w:val="DF30EF26"/>
    <w:lvl w:ilvl="0" w:tplc="0D04C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32DD7"/>
    <w:multiLevelType w:val="hybridMultilevel"/>
    <w:tmpl w:val="8CFE4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1339C"/>
    <w:multiLevelType w:val="hybridMultilevel"/>
    <w:tmpl w:val="87322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00FA"/>
    <w:multiLevelType w:val="hybridMultilevel"/>
    <w:tmpl w:val="47CE2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84D62"/>
    <w:multiLevelType w:val="hybridMultilevel"/>
    <w:tmpl w:val="FB0EF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84758"/>
    <w:multiLevelType w:val="hybridMultilevel"/>
    <w:tmpl w:val="86D64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27555"/>
    <w:multiLevelType w:val="hybridMultilevel"/>
    <w:tmpl w:val="86D64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C2CE7"/>
    <w:multiLevelType w:val="hybridMultilevel"/>
    <w:tmpl w:val="9FAA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F32F8"/>
    <w:multiLevelType w:val="hybridMultilevel"/>
    <w:tmpl w:val="7FB02B7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448F0"/>
    <w:multiLevelType w:val="hybridMultilevel"/>
    <w:tmpl w:val="DB76D4B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928198">
    <w:abstractNumId w:val="1"/>
  </w:num>
  <w:num w:numId="2" w16cid:durableId="981271969">
    <w:abstractNumId w:val="0"/>
  </w:num>
  <w:num w:numId="3" w16cid:durableId="49118727">
    <w:abstractNumId w:val="7"/>
  </w:num>
  <w:num w:numId="4" w16cid:durableId="1443645186">
    <w:abstractNumId w:val="4"/>
  </w:num>
  <w:num w:numId="5" w16cid:durableId="1347946834">
    <w:abstractNumId w:val="3"/>
  </w:num>
  <w:num w:numId="6" w16cid:durableId="882446760">
    <w:abstractNumId w:val="8"/>
  </w:num>
  <w:num w:numId="7" w16cid:durableId="2070304939">
    <w:abstractNumId w:val="10"/>
  </w:num>
  <w:num w:numId="8" w16cid:durableId="1267495345">
    <w:abstractNumId w:val="5"/>
  </w:num>
  <w:num w:numId="9" w16cid:durableId="1792630755">
    <w:abstractNumId w:val="9"/>
  </w:num>
  <w:num w:numId="10" w16cid:durableId="1491368392">
    <w:abstractNumId w:val="6"/>
  </w:num>
  <w:num w:numId="11" w16cid:durableId="1222255233">
    <w:abstractNumId w:val="11"/>
  </w:num>
  <w:num w:numId="12" w16cid:durableId="1514757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65"/>
    <w:rsid w:val="00005B6D"/>
    <w:rsid w:val="0004277D"/>
    <w:rsid w:val="000875EF"/>
    <w:rsid w:val="000A47B1"/>
    <w:rsid w:val="000D4920"/>
    <w:rsid w:val="000E5438"/>
    <w:rsid w:val="001039D0"/>
    <w:rsid w:val="00134603"/>
    <w:rsid w:val="001503A3"/>
    <w:rsid w:val="00166A08"/>
    <w:rsid w:val="001923C0"/>
    <w:rsid w:val="001A5AEC"/>
    <w:rsid w:val="001B6FAD"/>
    <w:rsid w:val="001D1AA9"/>
    <w:rsid w:val="001E7219"/>
    <w:rsid w:val="00205889"/>
    <w:rsid w:val="00227DD3"/>
    <w:rsid w:val="0025392A"/>
    <w:rsid w:val="002828DE"/>
    <w:rsid w:val="002F0AB1"/>
    <w:rsid w:val="002F2B9E"/>
    <w:rsid w:val="002F6553"/>
    <w:rsid w:val="003645AD"/>
    <w:rsid w:val="003D41E1"/>
    <w:rsid w:val="003E539A"/>
    <w:rsid w:val="004019F0"/>
    <w:rsid w:val="00487EED"/>
    <w:rsid w:val="004B64C8"/>
    <w:rsid w:val="004C0032"/>
    <w:rsid w:val="004D04BA"/>
    <w:rsid w:val="00531511"/>
    <w:rsid w:val="0053350B"/>
    <w:rsid w:val="005A781C"/>
    <w:rsid w:val="006016F6"/>
    <w:rsid w:val="00611641"/>
    <w:rsid w:val="00623011"/>
    <w:rsid w:val="00634F29"/>
    <w:rsid w:val="006B1488"/>
    <w:rsid w:val="006C3196"/>
    <w:rsid w:val="006E1DA6"/>
    <w:rsid w:val="00717D86"/>
    <w:rsid w:val="00726307"/>
    <w:rsid w:val="00726FD0"/>
    <w:rsid w:val="00763AA0"/>
    <w:rsid w:val="007F7E88"/>
    <w:rsid w:val="00834E32"/>
    <w:rsid w:val="0085190E"/>
    <w:rsid w:val="00862C1F"/>
    <w:rsid w:val="008848DE"/>
    <w:rsid w:val="00895F58"/>
    <w:rsid w:val="008A7291"/>
    <w:rsid w:val="008C7DB0"/>
    <w:rsid w:val="0091251E"/>
    <w:rsid w:val="009373B0"/>
    <w:rsid w:val="00964A1C"/>
    <w:rsid w:val="0096514B"/>
    <w:rsid w:val="00971A1A"/>
    <w:rsid w:val="00983476"/>
    <w:rsid w:val="00984513"/>
    <w:rsid w:val="009A149E"/>
    <w:rsid w:val="009A7659"/>
    <w:rsid w:val="009C30A5"/>
    <w:rsid w:val="009D7BCE"/>
    <w:rsid w:val="009F0A19"/>
    <w:rsid w:val="009F37E7"/>
    <w:rsid w:val="00A34939"/>
    <w:rsid w:val="00A41272"/>
    <w:rsid w:val="00AB3DEF"/>
    <w:rsid w:val="00AD2D29"/>
    <w:rsid w:val="00AD6D31"/>
    <w:rsid w:val="00B70BFF"/>
    <w:rsid w:val="00BC5FA8"/>
    <w:rsid w:val="00C35256"/>
    <w:rsid w:val="00C93AC0"/>
    <w:rsid w:val="00CB653E"/>
    <w:rsid w:val="00D02452"/>
    <w:rsid w:val="00D05421"/>
    <w:rsid w:val="00D472E7"/>
    <w:rsid w:val="00D77B51"/>
    <w:rsid w:val="00D97A62"/>
    <w:rsid w:val="00DD31F4"/>
    <w:rsid w:val="00DD3F4D"/>
    <w:rsid w:val="00DE534A"/>
    <w:rsid w:val="00DF1062"/>
    <w:rsid w:val="00DF7A22"/>
    <w:rsid w:val="00E072D9"/>
    <w:rsid w:val="00E315FB"/>
    <w:rsid w:val="00EC0EB2"/>
    <w:rsid w:val="00ED2924"/>
    <w:rsid w:val="00F23A0B"/>
    <w:rsid w:val="00F47065"/>
    <w:rsid w:val="00F763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3D0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19F0"/>
  </w:style>
  <w:style w:type="paragraph" w:styleId="Overskrift1">
    <w:name w:val="heading 1"/>
    <w:basedOn w:val="Normal"/>
    <w:next w:val="Normal"/>
    <w:link w:val="Overskrift1Tegn"/>
    <w:uiPriority w:val="9"/>
    <w:qFormat/>
    <w:rsid w:val="000D49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D49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34603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46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4603"/>
    <w:rPr>
      <w:rFonts w:ascii="Lucida Grande" w:hAnsi="Lucida Grande" w:cs="Lucida Grande"/>
      <w:sz w:val="18"/>
      <w:szCs w:val="18"/>
    </w:rPr>
  </w:style>
  <w:style w:type="character" w:styleId="HTML-citat">
    <w:name w:val="HTML Cite"/>
    <w:basedOn w:val="Standardskrifttypeiafsnit"/>
    <w:uiPriority w:val="99"/>
    <w:semiHidden/>
    <w:unhideWhenUsed/>
    <w:rsid w:val="00DF7A22"/>
    <w:rPr>
      <w:i/>
      <w:iCs/>
    </w:rPr>
  </w:style>
  <w:style w:type="character" w:customStyle="1" w:styleId="apple-converted-space">
    <w:name w:val="apple-converted-space"/>
    <w:basedOn w:val="Standardskrifttypeiafsnit"/>
    <w:rsid w:val="00DF7A22"/>
  </w:style>
  <w:style w:type="character" w:styleId="Fremhv">
    <w:name w:val="Emphasis"/>
    <w:basedOn w:val="Standardskrifttypeiafsnit"/>
    <w:uiPriority w:val="20"/>
    <w:qFormat/>
    <w:rsid w:val="00DF7A22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DD31F4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862C1F"/>
    <w:pPr>
      <w:ind w:left="720"/>
      <w:contextualSpacing/>
    </w:pPr>
  </w:style>
  <w:style w:type="table" w:styleId="Tabel-Gitter">
    <w:name w:val="Table Grid"/>
    <w:basedOn w:val="Tabel-Normal"/>
    <w:uiPriority w:val="59"/>
    <w:rsid w:val="0053151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0D49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D49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defod">
    <w:name w:val="footer"/>
    <w:basedOn w:val="Normal"/>
    <w:link w:val="SidefodTegn"/>
    <w:uiPriority w:val="99"/>
    <w:unhideWhenUsed/>
    <w:rsid w:val="000D492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0D4920"/>
  </w:style>
  <w:style w:type="character" w:styleId="Sidetal">
    <w:name w:val="page number"/>
    <w:basedOn w:val="Standardskrifttypeiafsnit"/>
    <w:uiPriority w:val="99"/>
    <w:semiHidden/>
    <w:unhideWhenUsed/>
    <w:rsid w:val="000D4920"/>
  </w:style>
  <w:style w:type="character" w:styleId="BesgtLink">
    <w:name w:val="FollowedHyperlink"/>
    <w:basedOn w:val="Standardskrifttypeiafsnit"/>
    <w:uiPriority w:val="99"/>
    <w:semiHidden/>
    <w:unhideWhenUsed/>
    <w:rsid w:val="004D04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238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Sankt Annæ gymnasium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 Samsøe</dc:creator>
  <cp:keywords/>
  <dc:description/>
  <cp:lastModifiedBy>Steffen Samsøe</cp:lastModifiedBy>
  <cp:revision>4</cp:revision>
  <cp:lastPrinted>2015-11-03T11:43:00Z</cp:lastPrinted>
  <dcterms:created xsi:type="dcterms:W3CDTF">2025-03-18T17:07:00Z</dcterms:created>
  <dcterms:modified xsi:type="dcterms:W3CDTF">2025-03-19T09:38:00Z</dcterms:modified>
</cp:coreProperties>
</file>