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C0D0" w14:textId="7851E490" w:rsidR="007248C7" w:rsidRDefault="007248C7" w:rsidP="007248C7">
      <w:pPr>
        <w:pStyle w:val="Overskrift2"/>
      </w:pPr>
      <w:r>
        <w:t>Kræfter i sving</w:t>
      </w:r>
    </w:p>
    <w:p w14:paraId="3EA769E6" w14:textId="7C046DE7" w:rsidR="007248C7" w:rsidRDefault="007248C7" w:rsidP="007248C7">
      <w:pPr>
        <w:pStyle w:val="Overskrift2"/>
      </w:pPr>
      <w:r>
        <w:t>1. Kræfter i et vandret sving</w:t>
      </w:r>
    </w:p>
    <w:p w14:paraId="22379324" w14:textId="6530ED2E" w:rsidR="007248C7" w:rsidRDefault="007248C7" w:rsidP="007248C7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Når en bil kører rundt i et vandret cirkelformet sving (fx en rundkørsel), er det gnidningskraften fra vejbanen, der giver den nødvendige centripetalkraft. </w:t>
      </w:r>
      <w:r w:rsidRPr="00C57AB5">
        <w:rPr>
          <w:rFonts w:eastAsiaTheme="minorEastAsia"/>
          <w:i/>
          <w:iCs/>
        </w:rPr>
        <w:t>Bilen er påvirket af t</w:t>
      </w:r>
      <w:r>
        <w:rPr>
          <w:rFonts w:eastAsiaTheme="minorEastAsia"/>
          <w:i/>
          <w:iCs/>
        </w:rPr>
        <w:t>re</w:t>
      </w:r>
      <w:r w:rsidRPr="00C57AB5">
        <w:rPr>
          <w:rFonts w:eastAsiaTheme="minorEastAsia"/>
          <w:i/>
          <w:iCs/>
        </w:rPr>
        <w:t xml:space="preserve"> kræfter, tyngdekraften</w:t>
      </w:r>
      <w:r>
        <w:rPr>
          <w:rFonts w:eastAsiaTheme="minorEastAsia"/>
          <w:i/>
          <w:iCs/>
        </w:rPr>
        <w:t xml:space="preserve">, </w:t>
      </w:r>
      <w:r w:rsidRPr="00C57AB5">
        <w:rPr>
          <w:rFonts w:eastAsiaTheme="minorEastAsia"/>
          <w:i/>
          <w:iCs/>
        </w:rPr>
        <w:t>normalkraften</w:t>
      </w:r>
      <w:r>
        <w:rPr>
          <w:rFonts w:eastAsiaTheme="minorEastAsia"/>
          <w:i/>
          <w:iCs/>
        </w:rPr>
        <w:t xml:space="preserve"> fra underlaget og gnidningskraften rettet ind mod centrum af svinget</w:t>
      </w:r>
      <w:r w:rsidRPr="00C57AB5">
        <w:rPr>
          <w:rFonts w:eastAsiaTheme="minorEastAsia"/>
          <w:i/>
          <w:iCs/>
        </w:rPr>
        <w:t>.</w:t>
      </w:r>
      <w:r>
        <w:rPr>
          <w:rFonts w:eastAsiaTheme="minorEastAsia"/>
        </w:rPr>
        <w:t xml:space="preserve"> </w:t>
      </w:r>
    </w:p>
    <w:p w14:paraId="3611925B" w14:textId="549EEF0E" w:rsidR="007248C7" w:rsidRDefault="00000000" w:rsidP="007248C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cen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3DDA2B12" w14:textId="4F74F319" w:rsidR="007248C7" w:rsidRPr="007248C7" w:rsidRDefault="007248C7" w:rsidP="007248C7">
      <m:oMathPara>
        <m:oMath>
          <m:r>
            <w:rPr>
              <w:rFonts w:ascii="Cambria Math" w:hAnsi="Cambria Math"/>
              <w:color w:val="000000" w:themeColor="text1"/>
            </w:rPr>
            <m:t>m</m:t>
          </m:r>
          <m:r>
            <w:rPr>
              <w:rFonts w:ascii="Cambria Math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 w:themeColor="text1"/>
                </w:rPr>
                <m:t>r</m:t>
              </m:r>
            </m:den>
          </m:f>
          <m:r>
            <w:rPr>
              <w:rFonts w:ascii="Cambria Math" w:hAnsi="Cambria Math"/>
            </w:rPr>
            <m:t>=μ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color w:val="000000" w:themeColor="text1"/>
            </w:rPr>
            <m:t>m</m:t>
          </m:r>
          <m:r>
            <w:rPr>
              <w:rFonts w:ascii="Cambria Math" w:hAnsi="Cambria Math"/>
              <w:color w:val="000000" w:themeColor="text1"/>
            </w:rPr>
            <m:t>∙</m:t>
          </m:r>
          <m:r>
            <w:rPr>
              <w:rFonts w:ascii="Cambria Math" w:hAnsi="Cambria Math"/>
              <w:color w:val="000000" w:themeColor="text1"/>
            </w:rPr>
            <m:t>g⇒v=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μ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color w:val="000000" w:themeColor="text1"/>
                </w:rPr>
                <m:t>g</m:t>
              </m:r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hAnsi="Cambria Math"/>
                  <w:color w:val="000000" w:themeColor="text1"/>
                </w:rPr>
                <m:t>r</m:t>
              </m:r>
            </m:e>
          </m:rad>
        </m:oMath>
      </m:oMathPara>
    </w:p>
    <w:p w14:paraId="75B3272E" w14:textId="7279AAC2" w:rsidR="007248C7" w:rsidRPr="004D2820" w:rsidRDefault="007248C7" w:rsidP="00BE58C0">
      <w:pPr>
        <w:spacing w:after="0"/>
        <w:rPr>
          <w:rFonts w:eastAsiaTheme="minorEastAsia"/>
          <w:b/>
          <w:bCs/>
        </w:rPr>
      </w:pPr>
      <w:r w:rsidRPr="004D2820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1</w:t>
      </w:r>
    </w:p>
    <w:p w14:paraId="74F30126" w14:textId="77777777" w:rsidR="007248C7" w:rsidRDefault="007248C7" w:rsidP="00BE58C0">
      <w:pPr>
        <w:spacing w:after="0"/>
      </w:pPr>
      <w:r>
        <w:t xml:space="preserve">Radius i bilens cirkelbane er 25 m, og tyngdeaccelerationen sættes til </w:t>
      </w:r>
      <m:oMath>
        <m:r>
          <w:rPr>
            <w:rFonts w:ascii="Cambria Math" w:hAnsi="Cambria Math"/>
          </w:rPr>
          <m:t>g</m:t>
        </m:r>
        <m:r>
          <m:rPr>
            <m:nor/>
          </m:rPr>
          <w:rPr>
            <w:rFonts w:ascii="Cambria Math" w:hAnsi="Cambria Math"/>
          </w:rPr>
          <m:t xml:space="preserve"> = 10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kg</m:t>
            </m:r>
          </m:den>
        </m:f>
      </m:oMath>
      <w:r>
        <w:t xml:space="preserve">. </w:t>
      </w:r>
    </w:p>
    <w:p w14:paraId="29800F29" w14:textId="77777777" w:rsidR="007248C7" w:rsidRDefault="007248C7" w:rsidP="007248C7">
      <w:pPr>
        <w:pStyle w:val="Listeafsnit"/>
        <w:numPr>
          <w:ilvl w:val="0"/>
          <w:numId w:val="1"/>
        </w:numPr>
      </w:pPr>
      <w:r>
        <w:t xml:space="preserve">Beregn den største fart bilen kan køre rundt med uden at skride ud, gnidningskoefficienten mellem dæk og vejbane er </w:t>
      </w:r>
      <m:oMath>
        <m:r>
          <w:rPr>
            <w:rFonts w:ascii="Cambria Math" w:hAnsi="Cambria Math"/>
          </w:rPr>
          <m:t>μ=0,90</m:t>
        </m:r>
      </m:oMath>
      <w:r>
        <w:t xml:space="preserve"> (tør vej)</w:t>
      </w:r>
    </w:p>
    <w:p w14:paraId="30D25137" w14:textId="77777777" w:rsidR="007248C7" w:rsidRPr="005D07EA" w:rsidRDefault="007248C7" w:rsidP="007248C7">
      <w:pPr>
        <w:pStyle w:val="Listeafsnit"/>
        <w:numPr>
          <w:ilvl w:val="0"/>
          <w:numId w:val="1"/>
        </w:numPr>
      </w:pPr>
      <w:r>
        <w:t xml:space="preserve">Beregn den største fart bilen kan køre rundt med uden at skride ud, gnidningskoefficienten mellem dæk og vejbane er </w:t>
      </w:r>
      <m:oMath>
        <m:r>
          <w:rPr>
            <w:rFonts w:ascii="Cambria Math" w:hAnsi="Cambria Math"/>
          </w:rPr>
          <m:t>μ=0,80</m:t>
        </m:r>
      </m:oMath>
      <w:r>
        <w:t xml:space="preserve"> (våd vej)</w:t>
      </w:r>
    </w:p>
    <w:p w14:paraId="0F828319" w14:textId="77777777" w:rsidR="007248C7" w:rsidRDefault="007248C7" w:rsidP="007248C7">
      <w:pPr>
        <w:pStyle w:val="Listeafsnit"/>
        <w:numPr>
          <w:ilvl w:val="0"/>
          <w:numId w:val="1"/>
        </w:numPr>
      </w:pPr>
      <w:r>
        <w:t xml:space="preserve">Beregn den største fart bilen kan køre rundt med uden at skride ud, gnidningskoefficienten mellem dæk og vejbane er </w:t>
      </w:r>
      <m:oMath>
        <m:r>
          <w:rPr>
            <w:rFonts w:ascii="Cambria Math" w:hAnsi="Cambria Math"/>
          </w:rPr>
          <m:t>μ=0,20</m:t>
        </m:r>
      </m:oMath>
      <w:r>
        <w:t xml:space="preserve"> (isglat vej)</w:t>
      </w:r>
    </w:p>
    <w:p w14:paraId="1CEC20F0" w14:textId="77777777" w:rsidR="007248C7" w:rsidRPr="00F26A97" w:rsidRDefault="007248C7" w:rsidP="007248C7">
      <w:pPr>
        <w:rPr>
          <w:lang w:eastAsia="ja-JP"/>
        </w:rPr>
      </w:pPr>
    </w:p>
    <w:p w14:paraId="20B8AF0A" w14:textId="445FCB64" w:rsidR="007248C7" w:rsidRDefault="007248C7" w:rsidP="007248C7">
      <w:pPr>
        <w:pStyle w:val="Overskrift2"/>
      </w:pPr>
      <w:r>
        <w:t>2. Kræfter i et vinklet sving</w:t>
      </w:r>
    </w:p>
    <w:p w14:paraId="681FE2A7" w14:textId="77777777" w:rsidR="007248C7" w:rsidRPr="00DB5603" w:rsidRDefault="007248C7" w:rsidP="007248C7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Når en bil kører rundt i et vandret sving, er det gnidningskraften fra vejbanen der giver den nødvendige centripetalkraft. Hvis svinget er vinklet, kan bilen komme gennem svinget selvom vejbanen er glat. </w:t>
      </w:r>
      <w:r w:rsidRPr="00C57AB5">
        <w:rPr>
          <w:rFonts w:eastAsiaTheme="minorEastAsia"/>
          <w:i/>
          <w:iCs/>
        </w:rPr>
        <w:t>Bilen er påvirket af to kræfter, tyngdekraften og normalkraften.</w:t>
      </w:r>
      <w:r>
        <w:rPr>
          <w:rFonts w:eastAsiaTheme="minorEastAsia"/>
        </w:rPr>
        <w:t xml:space="preserve"> </w:t>
      </w:r>
      <w:r w:rsidRPr="00466F83">
        <w:rPr>
          <w:rFonts w:eastAsiaTheme="minorEastAsia"/>
          <w:i/>
          <w:iCs/>
        </w:rPr>
        <w:t xml:space="preserve">Vi skal bestemme centripetalkraften, der er vandret, og da tyngdekraften ikke har en vandret </w:t>
      </w:r>
      <w:proofErr w:type="spellStart"/>
      <w:r w:rsidRPr="00466F83">
        <w:rPr>
          <w:rFonts w:eastAsiaTheme="minorEastAsia"/>
          <w:i/>
          <w:iCs/>
        </w:rPr>
        <w:t>komposant</w:t>
      </w:r>
      <w:proofErr w:type="spellEnd"/>
      <w:r>
        <w:rPr>
          <w:rFonts w:eastAsiaTheme="minorEastAsia"/>
        </w:rPr>
        <w:t xml:space="preserve">, er </w:t>
      </w:r>
      <w:r w:rsidRPr="005D07EA">
        <w:rPr>
          <w:i/>
          <w:iCs/>
          <w:lang w:eastAsia="ja-JP"/>
        </w:rPr>
        <w:t>det normalkraften</w:t>
      </w:r>
      <w:r>
        <w:rPr>
          <w:i/>
          <w:iCs/>
          <w:lang w:eastAsia="ja-JP"/>
        </w:rPr>
        <w:t>,</w:t>
      </w:r>
      <w:r w:rsidRPr="005D07EA">
        <w:rPr>
          <w:i/>
          <w:iCs/>
          <w:lang w:eastAsia="ja-JP"/>
        </w:rPr>
        <w:t xml:space="preserve"> der opløses i lodret og vandret retning</w:t>
      </w:r>
      <w:r>
        <w:rPr>
          <w:i/>
          <w:iCs/>
          <w:lang w:eastAsia="ja-JP"/>
        </w:rPr>
        <w:t xml:space="preserve">. </w:t>
      </w:r>
    </w:p>
    <w:p w14:paraId="2A472092" w14:textId="04908891" w:rsidR="007248C7" w:rsidRPr="00537FEA" w:rsidRDefault="007248C7" w:rsidP="007248C7">
      <w:pPr>
        <w:rPr>
          <w:i/>
          <w:iCs/>
        </w:rPr>
      </w:pPr>
      <w:r>
        <w:rPr>
          <w:noProof/>
        </w:rPr>
        <w:drawing>
          <wp:inline distT="0" distB="0" distL="0" distR="0" wp14:anchorId="500A35C2" wp14:editId="3B40170F">
            <wp:extent cx="1264159" cy="1608083"/>
            <wp:effectExtent l="0" t="0" r="6350" b="5080"/>
            <wp:docPr id="2002393490" name="Billede 1" descr="Et billede, der indeholder diagram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93490" name="Billede 1" descr="Et billede, der indeholder diagram, linje/række, Kurv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467" cy="165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7FEA" w:rsidRPr="003323A4">
        <w:fldChar w:fldCharType="begin"/>
      </w:r>
      <w:r w:rsidR="00537FEA" w:rsidRPr="003323A4">
        <w:instrText xml:space="preserve"> INCLUDEPICTURE "https://www.onlinemathlearning.com/image-files/components-vector.png" \* MERGEFORMATINET </w:instrText>
      </w:r>
      <w:r w:rsidR="00537FEA" w:rsidRPr="003323A4">
        <w:fldChar w:fldCharType="separate"/>
      </w:r>
      <w:r w:rsidR="00537FEA" w:rsidRPr="003323A4">
        <w:rPr>
          <w:noProof/>
        </w:rPr>
        <w:drawing>
          <wp:inline distT="0" distB="0" distL="0" distR="0" wp14:anchorId="34A28AA1" wp14:editId="2E91BD66">
            <wp:extent cx="1489841" cy="1386669"/>
            <wp:effectExtent l="0" t="0" r="0" b="0"/>
            <wp:docPr id="6" name="Billede 6" descr="Finding the Components of a Vector (examples, solutions, videos, less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ing the Components of a Vector (examples, solutions, videos, lesson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62" cy="141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FEA" w:rsidRPr="003323A4">
        <w:fldChar w:fldCharType="end"/>
      </w:r>
    </w:p>
    <w:p w14:paraId="39DAD725" w14:textId="437A24D0" w:rsidR="007248C7" w:rsidRDefault="007248C7" w:rsidP="007248C7">
      <w:r w:rsidRPr="007E2234">
        <w:rPr>
          <w:i/>
          <w:iCs/>
        </w:rPr>
        <w:t>Metode</w:t>
      </w:r>
      <w:r>
        <w:rPr>
          <w:i/>
          <w:iCs/>
        </w:rPr>
        <w:t xml:space="preserve">: </w:t>
      </w:r>
      <w:r w:rsidRPr="0001688A">
        <w:rPr>
          <w:i/>
          <w:iCs/>
        </w:rPr>
        <w:t xml:space="preserve">Normalkraften deles op i dens to </w:t>
      </w:r>
      <w:proofErr w:type="spellStart"/>
      <w:r w:rsidRPr="0001688A">
        <w:rPr>
          <w:i/>
          <w:iCs/>
        </w:rPr>
        <w:t>komposanter</w:t>
      </w:r>
      <w:proofErr w:type="spellEnd"/>
      <w:r w:rsidR="00537FEA">
        <w:rPr>
          <w:i/>
          <w:iCs/>
        </w:rPr>
        <w:t xml:space="preserve"> (</w:t>
      </w:r>
      <w:proofErr w:type="spellStart"/>
      <w:r w:rsidR="00537FEA">
        <w:rPr>
          <w:i/>
          <w:iCs/>
        </w:rPr>
        <w:t>componets</w:t>
      </w:r>
      <w:proofErr w:type="spellEnd"/>
      <w:r w:rsidR="00537FEA">
        <w:rPr>
          <w:i/>
          <w:iCs/>
        </w:rPr>
        <w:t>)</w:t>
      </w:r>
    </w:p>
    <w:p w14:paraId="12521BD5" w14:textId="6928EAEA" w:rsidR="007248C7" w:rsidRPr="007248C7" w:rsidRDefault="007248C7" w:rsidP="007248C7">
      <w:pPr>
        <w:rPr>
          <w:i/>
          <w:iCs/>
        </w:rPr>
      </w:pPr>
      <w:r>
        <w:lastRenderedPageBreak/>
        <w:t xml:space="preserve">Det er den vandrette </w:t>
      </w:r>
      <w:proofErr w:type="spellStart"/>
      <w:r>
        <w:t>komposant</w:t>
      </w:r>
      <w:proofErr w:type="spellEnd"/>
      <w:r>
        <w:t xml:space="preserve"> der giver centripetalkraften</w:t>
      </w:r>
    </w:p>
    <w:p w14:paraId="73026D67" w14:textId="77777777" w:rsidR="007248C7" w:rsidRDefault="00000000" w:rsidP="007248C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N,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vandret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cen</m:t>
              </m:r>
            </m:sub>
          </m:sSub>
        </m:oMath>
      </m:oMathPara>
    </w:p>
    <w:p w14:paraId="3F2BFD02" w14:textId="77777777" w:rsidR="007248C7" w:rsidRPr="00520B23" w:rsidRDefault="00000000" w:rsidP="007248C7">
      <w:pPr>
        <w:rPr>
          <w:rFonts w:eastAsiaTheme="minorEastAsia"/>
          <w:color w:val="EE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N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EE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sin</m:t>
              </m:r>
            </m:fName>
            <m:e>
              <m:r>
                <w:rPr>
                  <w:rFonts w:ascii="Cambria Math" w:hAnsi="Cambria Math"/>
                  <w:color w:val="EE0000"/>
                </w:rPr>
                <m:t>θ</m:t>
              </m:r>
            </m:e>
          </m:func>
          <m:r>
            <w:rPr>
              <w:rFonts w:ascii="Cambria Math" w:hAnsi="Cambria Math"/>
              <w:color w:val="EE0000"/>
            </w:rPr>
            <m:t>=m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EE0000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EE0000"/>
                </w:rPr>
                <m:t>r</m:t>
              </m:r>
            </m:den>
          </m:f>
        </m:oMath>
      </m:oMathPara>
    </w:p>
    <w:p w14:paraId="089E0F48" w14:textId="61C8F131" w:rsidR="007248C7" w:rsidRDefault="007248C7" w:rsidP="007248C7">
      <w:pPr>
        <w:rPr>
          <w:rFonts w:eastAsiaTheme="minorEastAsia"/>
        </w:rPr>
      </w:pPr>
      <w:r>
        <w:rPr>
          <w:rFonts w:eastAsiaTheme="minorEastAsia"/>
        </w:rPr>
        <w:t>Og den lodrette der ophæver tyngdekraften</w:t>
      </w:r>
    </w:p>
    <w:p w14:paraId="149C31B5" w14:textId="74D9CB00" w:rsidR="007248C7" w:rsidRDefault="00000000" w:rsidP="007248C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N, lodret 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472BB7D5" w14:textId="77777777" w:rsidR="007248C7" w:rsidRPr="00520B23" w:rsidRDefault="00000000" w:rsidP="007248C7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N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00B0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cos</m:t>
              </m:r>
            </m:fName>
            <m:e>
              <m:r>
                <w:rPr>
                  <w:rFonts w:ascii="Cambria Math" w:hAnsi="Cambria Math"/>
                  <w:color w:val="00B050"/>
                </w:rPr>
                <m:t>θ</m:t>
              </m:r>
            </m:e>
          </m:func>
          <m:r>
            <w:rPr>
              <w:rFonts w:ascii="Cambria Math" w:hAnsi="Cambria Math"/>
              <w:color w:val="00B050"/>
            </w:rPr>
            <m:t>=mg</m:t>
          </m:r>
        </m:oMath>
      </m:oMathPara>
    </w:p>
    <w:p w14:paraId="5A488FAC" w14:textId="2B613252" w:rsidR="007248C7" w:rsidRDefault="007248C7" w:rsidP="007248C7">
      <w:pPr>
        <w:rPr>
          <w:rFonts w:eastAsiaTheme="minorEastAsia"/>
        </w:rPr>
      </w:pPr>
      <w:r>
        <w:rPr>
          <w:rFonts w:eastAsiaTheme="minorEastAsia"/>
        </w:rPr>
        <w:t>Ved at dividere den røde ligning med den grønne ligning, fås</w:t>
      </w:r>
    </w:p>
    <w:p w14:paraId="5C3E285D" w14:textId="2AAF18C6" w:rsidR="007248C7" w:rsidRDefault="00000000" w:rsidP="007248C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</w:rPr>
                    <m:t>N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EE0000"/>
                    </w:rPr>
                    <m:t>θ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B050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B050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m</m:t>
              </m:r>
              <m:r>
                <w:rPr>
                  <w:rFonts w:ascii="Cambria Math" w:hAnsi="Cambria Math"/>
                  <w:color w:val="EE0000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color w:val="EE000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EE0000"/>
                    </w:rPr>
                    <m:t>r</m:t>
                  </m:r>
                </m:den>
              </m:f>
            </m:num>
            <m:den>
              <m:r>
                <w:rPr>
                  <w:rFonts w:ascii="Cambria Math" w:hAnsi="Cambria Math"/>
                  <w:color w:val="00B050"/>
                </w:rPr>
                <m:t>m</m:t>
              </m:r>
              <m:r>
                <w:rPr>
                  <w:rFonts w:ascii="Cambria Math" w:hAnsi="Cambria Math"/>
                  <w:color w:val="00B050"/>
                </w:rPr>
                <m:t>∙</m:t>
              </m:r>
              <m:r>
                <w:rPr>
                  <w:rFonts w:ascii="Cambria Math" w:hAnsi="Cambria Math"/>
                  <w:color w:val="00B050"/>
                </w:rPr>
                <m:t>g</m:t>
              </m:r>
            </m:den>
          </m:f>
          <m:r>
            <w:rPr>
              <w:rFonts w:ascii="Cambria Math" w:eastAsiaTheme="minorEastAsia" w:hAnsi="Cambria Math"/>
            </w:rPr>
            <m:t>⇒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θ=</m:t>
              </m:r>
            </m:e>
          </m:func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g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⇒v=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r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e>
          </m:rad>
        </m:oMath>
      </m:oMathPara>
    </w:p>
    <w:p w14:paraId="579F5299" w14:textId="77777777" w:rsidR="007248C7" w:rsidRPr="000004CD" w:rsidRDefault="007248C7" w:rsidP="007248C7">
      <w:pPr>
        <w:pStyle w:val="Listeafsnit"/>
        <w:numPr>
          <w:ilvl w:val="0"/>
          <w:numId w:val="2"/>
        </w:numPr>
      </w:pPr>
      <w:r w:rsidRPr="000004CD">
        <w:t xml:space="preserve">Hvis radius i svinget er fastholdt: </w:t>
      </w:r>
      <w:r w:rsidRPr="000004CD">
        <w:rPr>
          <w:i/>
          <w:iCs/>
        </w:rPr>
        <w:t>Jo større fart, jo større vinkel skal svinget have</w:t>
      </w:r>
    </w:p>
    <w:p w14:paraId="1630971E" w14:textId="77777777" w:rsidR="007248C7" w:rsidRPr="000004CD" w:rsidRDefault="007248C7" w:rsidP="007248C7">
      <w:pPr>
        <w:pStyle w:val="Listeafsnit"/>
        <w:numPr>
          <w:ilvl w:val="0"/>
          <w:numId w:val="2"/>
        </w:numPr>
      </w:pPr>
      <w:r w:rsidRPr="000004CD">
        <w:t xml:space="preserve">Hvis vinklen i svinget er fastholdt: </w:t>
      </w:r>
      <w:r w:rsidRPr="000004CD">
        <w:rPr>
          <w:i/>
          <w:iCs/>
        </w:rPr>
        <w:t>Jo større fart, jo større radius skal svinget have</w:t>
      </w:r>
    </w:p>
    <w:p w14:paraId="51D6B653" w14:textId="707DBB37" w:rsidR="007248C7" w:rsidRPr="004D2820" w:rsidRDefault="007248C7" w:rsidP="00DC37DF">
      <w:pPr>
        <w:spacing w:after="0"/>
        <w:rPr>
          <w:rFonts w:eastAsiaTheme="minorEastAsia"/>
          <w:b/>
          <w:bCs/>
        </w:rPr>
      </w:pPr>
      <w:r w:rsidRPr="004D2820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2</w:t>
      </w:r>
      <w:r w:rsidR="00A12317">
        <w:rPr>
          <w:rFonts w:eastAsiaTheme="minorEastAsia"/>
          <w:b/>
          <w:bCs/>
        </w:rPr>
        <w:t xml:space="preserve">. </w:t>
      </w:r>
      <w:r w:rsidR="00A12317" w:rsidRPr="00A12317">
        <w:rPr>
          <w:rFonts w:eastAsiaTheme="minorEastAsia"/>
          <w:i/>
          <w:iCs/>
        </w:rPr>
        <w:t>Vinklet sving</w:t>
      </w:r>
    </w:p>
    <w:p w14:paraId="2E87577F" w14:textId="77777777" w:rsidR="007739BE" w:rsidRDefault="007248C7" w:rsidP="007739BE">
      <w:pPr>
        <w:spacing w:after="0"/>
      </w:pPr>
      <w:r>
        <w:t>Svingets radius er 90 m</w:t>
      </w:r>
      <w:r w:rsidR="007739BE">
        <w:t xml:space="preserve"> og Tyngdeaccelerationen sættes til </w:t>
      </w:r>
      <m:oMath>
        <m:r>
          <w:rPr>
            <w:rFonts w:ascii="Cambria Math" w:hAnsi="Cambria Math"/>
          </w:rPr>
          <m:t>g</m:t>
        </m:r>
        <m:r>
          <m:rPr>
            <m:nor/>
          </m:rPr>
          <w:rPr>
            <w:rFonts w:ascii="Cambria Math" w:hAnsi="Cambria Math"/>
          </w:rPr>
          <m:t xml:space="preserve"> = 10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kg</m:t>
            </m:r>
          </m:den>
        </m:f>
      </m:oMath>
      <w:r w:rsidR="007739BE">
        <w:t>.</w:t>
      </w:r>
    </w:p>
    <w:p w14:paraId="351D7A6D" w14:textId="39849F4E" w:rsidR="007248C7" w:rsidRDefault="007248C7" w:rsidP="007739BE">
      <w:pPr>
        <w:pStyle w:val="Listeafsnit"/>
        <w:numPr>
          <w:ilvl w:val="0"/>
          <w:numId w:val="3"/>
        </w:numPr>
        <w:spacing w:after="0"/>
      </w:pPr>
      <w:r w:rsidRPr="000913EB">
        <w:t>Hvor stor skal vinklen være, hvis bilens fart er 10</w:t>
      </w:r>
      <w:r>
        <w:t>8</w:t>
      </w:r>
      <w:r w:rsidRPr="000913EB">
        <w:t xml:space="preserve"> km/h og den skal igennem svinget uden friktionskræfter</w:t>
      </w:r>
      <w:r>
        <w:t xml:space="preserve">. </w:t>
      </w:r>
    </w:p>
    <w:p w14:paraId="239D457C" w14:textId="2FE03DD1" w:rsidR="007739BE" w:rsidRDefault="007739BE" w:rsidP="007739BE">
      <w:pPr>
        <w:pStyle w:val="Listeafsnit"/>
        <w:numPr>
          <w:ilvl w:val="0"/>
          <w:numId w:val="3"/>
        </w:numPr>
        <w:spacing w:after="0"/>
      </w:pPr>
      <w:r>
        <w:t>Svingets vinkel er 10</w:t>
      </w:r>
      <w:r w:rsidRPr="007739BE">
        <w:rPr>
          <w:vertAlign w:val="superscript"/>
        </w:rPr>
        <w:t>o</w:t>
      </w:r>
      <w:r>
        <w:t xml:space="preserve">. </w:t>
      </w:r>
      <w:r w:rsidRPr="000913EB">
        <w:t xml:space="preserve">Hvor stor </w:t>
      </w:r>
      <w:r>
        <w:t>er den største fart bilen kan have</w:t>
      </w:r>
      <w:r w:rsidRPr="000913EB">
        <w:t>, hvis den skal igennem svinget uden friktionskræfter</w:t>
      </w:r>
      <w:r>
        <w:t xml:space="preserve">. </w:t>
      </w:r>
    </w:p>
    <w:p w14:paraId="56FF84FA" w14:textId="77777777" w:rsidR="007739BE" w:rsidRDefault="007739BE" w:rsidP="00DC37DF">
      <w:pPr>
        <w:spacing w:after="0"/>
      </w:pPr>
    </w:p>
    <w:p w14:paraId="3E2CEB27" w14:textId="77777777" w:rsidR="001C42B9" w:rsidRDefault="001C42B9" w:rsidP="00DC37DF">
      <w:pPr>
        <w:spacing w:after="0"/>
      </w:pPr>
    </w:p>
    <w:p w14:paraId="2657020A" w14:textId="77777777" w:rsidR="001C42B9" w:rsidRPr="00B27B7F" w:rsidRDefault="001C42B9" w:rsidP="001C42B9">
      <w:pPr>
        <w:spacing w:after="0"/>
        <w:rPr>
          <w:i/>
          <w:iCs/>
        </w:rPr>
      </w:pPr>
      <w:r w:rsidRPr="00B27B7F">
        <w:rPr>
          <w:i/>
          <w:iCs/>
        </w:rPr>
        <w:t>Bemærkning om centripetalkr</w:t>
      </w:r>
      <w:r>
        <w:rPr>
          <w:i/>
          <w:iCs/>
        </w:rPr>
        <w:t>aften</w:t>
      </w:r>
    </w:p>
    <w:p w14:paraId="72F5F81F" w14:textId="77777777" w:rsidR="001C42B9" w:rsidRDefault="001C42B9" w:rsidP="001C42B9">
      <w:pPr>
        <w:spacing w:after="0"/>
      </w:pPr>
      <w:r>
        <w:t xml:space="preserve">Centripetalkraften er </w:t>
      </w:r>
      <w:r w:rsidRPr="00B27B7F">
        <w:rPr>
          <w:i/>
          <w:iCs/>
        </w:rPr>
        <w:t>aldrig</w:t>
      </w:r>
      <w:r>
        <w:t xml:space="preserve"> en selvstændig kraft, men den opstår </w:t>
      </w:r>
      <w:r w:rsidRPr="00B27B7F">
        <w:rPr>
          <w:i/>
          <w:iCs/>
        </w:rPr>
        <w:t>altid</w:t>
      </w:r>
      <w:r>
        <w:t xml:space="preserve"> som et resultat af virkelige kræfter, som fx normalkraft, snor kraft, tyngdekraft, elektriske eller magnetisk kraft. Centripetalkraften er den til cirkelbevægelsen nødvendige mod centrum rettede kraft, der fremkommer som en </w:t>
      </w:r>
      <w:proofErr w:type="spellStart"/>
      <w:r>
        <w:t>komposant</w:t>
      </w:r>
      <w:proofErr w:type="spellEnd"/>
      <w:r>
        <w:t xml:space="preserve"> eller en sum af virkelig kræfter.</w:t>
      </w:r>
    </w:p>
    <w:p w14:paraId="068E90D5" w14:textId="613CA9D5" w:rsidR="001C42B9" w:rsidRPr="005D07EA" w:rsidRDefault="001C42B9" w:rsidP="001C42B9">
      <w:pPr>
        <w:spacing w:after="0"/>
      </w:pPr>
      <w:hyperlink r:id="rId7" w:history="1">
        <w:r w:rsidRPr="00026136">
          <w:rPr>
            <w:rStyle w:val="Hyperlink"/>
          </w:rPr>
          <w:t>https://phys.libretexts.org/Workbench/PH_245_Textbook_V2/10%3A_Fixed-Axis_Rotation__Introduction/10.03%3A_Centripetal_Force</w:t>
        </w:r>
      </w:hyperlink>
    </w:p>
    <w:p w14:paraId="7338405D" w14:textId="21E4AE14" w:rsidR="007248C7" w:rsidRDefault="00537FEA" w:rsidP="007248C7">
      <w:pPr>
        <w:rPr>
          <w:rFonts w:eastAsiaTheme="minorEastAsia"/>
        </w:rPr>
      </w:pPr>
      <w:r>
        <w:rPr>
          <w:rFonts w:eastAsiaTheme="minorEastAsia"/>
        </w:rPr>
        <w:t>Figuren med kræfter i et sving er taget fra</w:t>
      </w:r>
    </w:p>
    <w:p w14:paraId="75D8B5AB" w14:textId="77777777" w:rsidR="00537FEA" w:rsidRDefault="00537FEA" w:rsidP="00537FEA">
      <w:hyperlink r:id="rId8" w:history="1">
        <w:r w:rsidRPr="00424608">
          <w:rPr>
            <w:rStyle w:val="Hyperlink"/>
          </w:rPr>
          <w:t>https://slidetodoc.com/circular-motion-gravitation-kinematics-of-uniform-circular-motion/</w:t>
        </w:r>
      </w:hyperlink>
    </w:p>
    <w:p w14:paraId="0646D69C" w14:textId="66A3E22E" w:rsidR="00537FEA" w:rsidRDefault="00537FEA" w:rsidP="00537FEA">
      <w:r>
        <w:rPr>
          <w:i/>
          <w:iCs/>
          <w:noProof/>
        </w:rPr>
        <w:drawing>
          <wp:inline distT="0" distB="0" distL="0" distR="0" wp14:anchorId="3828F1CD" wp14:editId="7045D848">
            <wp:extent cx="6120130" cy="692150"/>
            <wp:effectExtent l="0" t="0" r="1270" b="635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DD092" w14:textId="77777777" w:rsidR="007248C7" w:rsidRDefault="007248C7"/>
    <w:sectPr w:rsidR="007248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86B"/>
    <w:multiLevelType w:val="hybridMultilevel"/>
    <w:tmpl w:val="C8B2CAF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67024"/>
    <w:multiLevelType w:val="hybridMultilevel"/>
    <w:tmpl w:val="A69072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5EFB"/>
    <w:multiLevelType w:val="hybridMultilevel"/>
    <w:tmpl w:val="CB60A0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79634">
    <w:abstractNumId w:val="2"/>
  </w:num>
  <w:num w:numId="2" w16cid:durableId="1527137698">
    <w:abstractNumId w:val="0"/>
  </w:num>
  <w:num w:numId="3" w16cid:durableId="118300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7"/>
    <w:rsid w:val="001C42B9"/>
    <w:rsid w:val="00537FEA"/>
    <w:rsid w:val="007248C7"/>
    <w:rsid w:val="007739BE"/>
    <w:rsid w:val="00A12317"/>
    <w:rsid w:val="00AF4228"/>
    <w:rsid w:val="00BE58C0"/>
    <w:rsid w:val="00DC37DF"/>
    <w:rsid w:val="00E77FB0"/>
    <w:rsid w:val="00F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BCEAB"/>
  <w15:chartTrackingRefBased/>
  <w15:docId w15:val="{C2A7CA5C-B949-B54F-857C-24162422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4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4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4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4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4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4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4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4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4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4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24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4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48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48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48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48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48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4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4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4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4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4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48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48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48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4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48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48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248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todoc.com/circular-motion-gravitation-kinematics-of-uniform-circular-mo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ys.libretexts.org/Workbench/PH_245_Textbook_V2/10%3A_Fixed-Axis_Rotation__Introduction/10.03%3A_Centripetal_For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2025-09-28T13:21:00Z</dcterms:created>
  <dcterms:modified xsi:type="dcterms:W3CDTF">2025-10-05T14:56:00Z</dcterms:modified>
</cp:coreProperties>
</file>