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D454E" w14:textId="4DFA58C6" w:rsidR="008C3CD1" w:rsidRDefault="00FF27CD" w:rsidP="008C3CD1">
      <w:pPr>
        <w:pStyle w:val="Overskrift2"/>
      </w:pPr>
      <w:r>
        <w:t>H</w:t>
      </w:r>
      <w:r w:rsidR="008C3CD1">
        <w:t>immelskibet</w:t>
      </w:r>
      <w:r>
        <w:t>, stolenes udsving og omdrejningsfart</w:t>
      </w:r>
    </w:p>
    <w:p w14:paraId="30888094" w14:textId="77777777" w:rsidR="008C3CD1" w:rsidRDefault="008C3CD1" w:rsidP="008C3CD1"/>
    <w:p w14:paraId="323E369E" w14:textId="520931CD" w:rsidR="00FF27CD" w:rsidRPr="00FF27CD" w:rsidRDefault="00FF27CD" w:rsidP="00FF27CD">
      <w:pPr>
        <w:rPr>
          <w:i/>
          <w:iCs/>
        </w:rPr>
      </w:pPr>
      <w:r w:rsidRPr="007D1A4F">
        <w:rPr>
          <w:i/>
          <w:iCs/>
        </w:rPr>
        <w:t xml:space="preserve">Hvilken sammenhæng er der mellem </w:t>
      </w:r>
      <w:r>
        <w:rPr>
          <w:i/>
          <w:iCs/>
        </w:rPr>
        <w:t xml:space="preserve">stolenes fart i himmelskibet og deres </w:t>
      </w:r>
      <w:r w:rsidRPr="007D1A4F">
        <w:rPr>
          <w:i/>
          <w:iCs/>
        </w:rPr>
        <w:t>vinkel i forhold til vandret? Kan Himmelskibet kører så hurtigt rundt, så stolene hænger vandret?</w:t>
      </w:r>
      <w:r w:rsidR="002B2928">
        <w:rPr>
          <w:i/>
          <w:iCs/>
        </w:rPr>
        <w:t xml:space="preserve"> Svinger de tomme stole lige meget ud som dem med passagerer</w:t>
      </w:r>
      <w:r w:rsidR="00CE1010">
        <w:rPr>
          <w:i/>
          <w:iCs/>
        </w:rPr>
        <w:t>?</w:t>
      </w:r>
      <w:r w:rsidR="002B2928">
        <w:rPr>
          <w:i/>
          <w:iCs/>
        </w:rPr>
        <w:t xml:space="preserve"> </w:t>
      </w:r>
      <w:r>
        <w:rPr>
          <w:i/>
          <w:iCs/>
          <w:lang w:eastAsia="ja-JP"/>
        </w:rPr>
        <w:t>Stolene</w:t>
      </w:r>
      <w:r w:rsidR="008C3CD1">
        <w:rPr>
          <w:i/>
          <w:iCs/>
          <w:lang w:eastAsia="ja-JP"/>
        </w:rPr>
        <w:t xml:space="preserve"> er påvirket af to kræfter, tyngdekraften og snorkraften. </w:t>
      </w:r>
      <w:r w:rsidR="008C3CD1" w:rsidRPr="005D07EA">
        <w:rPr>
          <w:i/>
          <w:iCs/>
          <w:lang w:eastAsia="ja-JP"/>
        </w:rPr>
        <w:t xml:space="preserve"> </w:t>
      </w:r>
      <w:r w:rsidR="008C3CD1" w:rsidRPr="00466F83">
        <w:rPr>
          <w:rFonts w:eastAsiaTheme="minorEastAsia"/>
          <w:i/>
          <w:iCs/>
        </w:rPr>
        <w:t xml:space="preserve">Vi skal bestemme centripetalkraften, der er vandret, og da tyngdekraften ikke har en vandret </w:t>
      </w:r>
      <w:proofErr w:type="spellStart"/>
      <w:r w:rsidR="008C3CD1" w:rsidRPr="00466F83">
        <w:rPr>
          <w:rFonts w:eastAsiaTheme="minorEastAsia"/>
          <w:i/>
          <w:iCs/>
        </w:rPr>
        <w:t>komposant</w:t>
      </w:r>
      <w:proofErr w:type="spellEnd"/>
      <w:r w:rsidR="008C3CD1">
        <w:rPr>
          <w:rFonts w:eastAsiaTheme="minorEastAsia"/>
        </w:rPr>
        <w:t xml:space="preserve">, </w:t>
      </w:r>
      <w:r w:rsidR="008C3CD1" w:rsidRPr="00466F83">
        <w:rPr>
          <w:rFonts w:eastAsiaTheme="minorEastAsia"/>
          <w:i/>
          <w:iCs/>
        </w:rPr>
        <w:t xml:space="preserve">er </w:t>
      </w:r>
      <w:r w:rsidR="008C3CD1" w:rsidRPr="005D07EA">
        <w:rPr>
          <w:i/>
          <w:iCs/>
          <w:lang w:eastAsia="ja-JP"/>
        </w:rPr>
        <w:t xml:space="preserve">det </w:t>
      </w:r>
      <w:r w:rsidR="008C3CD1">
        <w:rPr>
          <w:i/>
          <w:iCs/>
          <w:lang w:eastAsia="ja-JP"/>
        </w:rPr>
        <w:t>snor</w:t>
      </w:r>
      <w:r w:rsidR="008C3CD1" w:rsidRPr="005D07EA">
        <w:rPr>
          <w:i/>
          <w:iCs/>
          <w:lang w:eastAsia="ja-JP"/>
        </w:rPr>
        <w:t>kraften der opløses i lodret og vandret retning</w:t>
      </w:r>
      <w:r w:rsidR="00CE1010">
        <w:rPr>
          <w:i/>
          <w:iCs/>
          <w:lang w:eastAsia="ja-JP"/>
        </w:rPr>
        <w:t>.</w:t>
      </w:r>
    </w:p>
    <w:p w14:paraId="102AD133" w14:textId="77777777" w:rsidR="00FF27CD" w:rsidRDefault="00FF27CD" w:rsidP="008C3CD1">
      <w:pPr>
        <w:rPr>
          <w:i/>
          <w:iCs/>
          <w:lang w:eastAsia="ja-JP"/>
        </w:rPr>
      </w:pPr>
    </w:p>
    <w:p w14:paraId="0794C506" w14:textId="77777777" w:rsidR="008C3CD1" w:rsidRPr="002C0270" w:rsidRDefault="008C3CD1" w:rsidP="008C3CD1">
      <w:r w:rsidRPr="002C0270">
        <w:fldChar w:fldCharType="begin"/>
      </w:r>
      <w:r w:rsidRPr="002C0270">
        <w:instrText xml:space="preserve"> INCLUDEPICTURE "https://thefactfactor.com/wp-content/uploads/2020/01/Conical-Pendulum-13.png" \* MERGEFORMATINET </w:instrText>
      </w:r>
      <w:r w:rsidRPr="002C0270">
        <w:fldChar w:fldCharType="separate"/>
      </w:r>
      <w:r w:rsidRPr="002C0270">
        <w:rPr>
          <w:noProof/>
        </w:rPr>
        <w:drawing>
          <wp:inline distT="0" distB="0" distL="0" distR="0" wp14:anchorId="5CC0885B" wp14:editId="613BF1EF">
            <wp:extent cx="2256640" cy="2048256"/>
            <wp:effectExtent l="0" t="0" r="4445" b="0"/>
            <wp:docPr id="3" name="Billede 3" descr="Conical Pendulum: Its time period, tension in string, numerical proble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ical Pendulum: Its time period, tension in string, numerical problem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881" cy="2074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0270">
        <w:fldChar w:fldCharType="end"/>
      </w:r>
    </w:p>
    <w:p w14:paraId="7157337F" w14:textId="77777777" w:rsidR="008C3CD1" w:rsidRDefault="008C3CD1" w:rsidP="008C3CD1">
      <w:r w:rsidRPr="007E2234">
        <w:rPr>
          <w:i/>
          <w:iCs/>
        </w:rPr>
        <w:t>Metode</w:t>
      </w:r>
      <w:r>
        <w:rPr>
          <w:i/>
          <w:iCs/>
        </w:rPr>
        <w:t>: Snor</w:t>
      </w:r>
      <w:r w:rsidRPr="0001688A">
        <w:rPr>
          <w:i/>
          <w:iCs/>
        </w:rPr>
        <w:t xml:space="preserve">kraften deles op i dens to </w:t>
      </w:r>
      <w:proofErr w:type="spellStart"/>
      <w:r w:rsidRPr="0001688A">
        <w:rPr>
          <w:i/>
          <w:iCs/>
        </w:rPr>
        <w:t>komposanter</w:t>
      </w:r>
      <w:proofErr w:type="spellEnd"/>
      <w:r w:rsidRPr="0001688A">
        <w:rPr>
          <w:i/>
          <w:iCs/>
        </w:rPr>
        <w:t>.</w:t>
      </w:r>
      <w:r>
        <w:t xml:space="preserve"> </w:t>
      </w:r>
    </w:p>
    <w:p w14:paraId="395F7172" w14:textId="77777777" w:rsidR="008C3CD1" w:rsidRPr="0001688A" w:rsidRDefault="008C3CD1" w:rsidP="008C3CD1">
      <w:pPr>
        <w:rPr>
          <w:i/>
          <w:iCs/>
        </w:rPr>
      </w:pPr>
      <w:r>
        <w:t xml:space="preserve">Det er den vandrette </w:t>
      </w:r>
      <w:proofErr w:type="spellStart"/>
      <w:r>
        <w:t>komposant</w:t>
      </w:r>
      <w:proofErr w:type="spellEnd"/>
      <w:r>
        <w:t xml:space="preserve"> der giver centripetalkraften</w:t>
      </w:r>
    </w:p>
    <w:p w14:paraId="1D8FE1E1" w14:textId="77777777" w:rsidR="008C3CD1" w:rsidRDefault="008C3CD1" w:rsidP="008C3CD1"/>
    <w:p w14:paraId="33D948CF" w14:textId="77777777" w:rsidR="008C3CD1" w:rsidRPr="00B42B74" w:rsidRDefault="00000000" w:rsidP="008C3CD1">
      <w:pPr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 xml:space="preserve">s, 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vandret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>cen</m:t>
              </m:r>
            </m:sub>
          </m:sSub>
        </m:oMath>
      </m:oMathPara>
    </w:p>
    <w:p w14:paraId="31CAFF66" w14:textId="77777777" w:rsidR="008C3CD1" w:rsidRPr="00B42B74" w:rsidRDefault="008C3CD1" w:rsidP="008C3CD1">
      <w:pPr>
        <w:rPr>
          <w:lang w:val="en-US"/>
        </w:rPr>
      </w:pPr>
    </w:p>
    <w:p w14:paraId="53B4A97F" w14:textId="7F860B18" w:rsidR="008C3CD1" w:rsidRPr="00CE1010" w:rsidRDefault="00000000" w:rsidP="008C3CD1">
      <w:pPr>
        <w:rPr>
          <w:rFonts w:eastAsiaTheme="minorEastAsia"/>
          <w:color w:val="EE000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EE0000"/>
                </w:rPr>
              </m:ctrlPr>
            </m:sSubPr>
            <m:e>
              <m:r>
                <w:rPr>
                  <w:rFonts w:ascii="Cambria Math" w:hAnsi="Cambria Math"/>
                  <w:color w:val="EE0000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EE0000"/>
                </w:rPr>
                <m:t>s</m:t>
              </m:r>
            </m:sub>
          </m:sSub>
          <m:func>
            <m:funcPr>
              <m:ctrlPr>
                <w:rPr>
                  <w:rFonts w:ascii="Cambria Math" w:hAnsi="Cambria Math"/>
                  <w:i/>
                  <w:color w:val="EE0000"/>
                </w:rPr>
              </m:ctrlPr>
            </m:funcPr>
            <m:fName>
              <m:r>
                <w:rPr>
                  <w:rFonts w:ascii="Cambria Math" w:hAnsi="Cambria Math"/>
                  <w:color w:val="EE0000"/>
                </w:rPr>
                <m:t>∙</m:t>
              </m:r>
              <m:r>
                <m:rPr>
                  <m:sty m:val="p"/>
                </m:rPr>
                <w:rPr>
                  <w:rFonts w:ascii="Cambria Math" w:hAnsi="Cambria Math"/>
                  <w:color w:val="EE0000"/>
                </w:rPr>
                <m:t>sin</m:t>
              </m:r>
            </m:fName>
            <m:e>
              <m:r>
                <w:rPr>
                  <w:rFonts w:ascii="Cambria Math" w:hAnsi="Cambria Math"/>
                  <w:color w:val="EE0000"/>
                </w:rPr>
                <m:t>θ</m:t>
              </m:r>
            </m:e>
          </m:func>
          <m:r>
            <w:rPr>
              <w:rFonts w:ascii="Cambria Math" w:hAnsi="Cambria Math"/>
              <w:color w:val="EE0000"/>
            </w:rPr>
            <m:t>=m</m:t>
          </m:r>
          <m:r>
            <w:rPr>
              <w:rFonts w:ascii="Cambria Math" w:hAnsi="Cambria Math"/>
              <w:color w:val="EE0000"/>
            </w:rPr>
            <m:t>∙</m:t>
          </m:r>
          <m:f>
            <m:fPr>
              <m:ctrlPr>
                <w:rPr>
                  <w:rFonts w:ascii="Cambria Math" w:hAnsi="Cambria Math"/>
                  <w:i/>
                  <w:color w:val="EE000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color w:val="EE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EE0000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  <w:color w:val="EE0000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color w:val="EE0000"/>
                </w:rPr>
                <m:t>r</m:t>
              </m:r>
            </m:den>
          </m:f>
        </m:oMath>
      </m:oMathPara>
    </w:p>
    <w:p w14:paraId="54D744E0" w14:textId="77777777" w:rsidR="008C3CD1" w:rsidRDefault="008C3CD1" w:rsidP="008C3CD1">
      <w:pPr>
        <w:rPr>
          <w:rFonts w:eastAsiaTheme="minorEastAsia"/>
        </w:rPr>
      </w:pPr>
    </w:p>
    <w:p w14:paraId="617A3A1D" w14:textId="77777777" w:rsidR="008C3CD1" w:rsidRDefault="008C3CD1" w:rsidP="008C3CD1">
      <w:pPr>
        <w:rPr>
          <w:rFonts w:eastAsiaTheme="minorEastAsia"/>
        </w:rPr>
      </w:pPr>
      <w:r>
        <w:rPr>
          <w:rFonts w:eastAsiaTheme="minorEastAsia"/>
        </w:rPr>
        <w:t>Og den lodrette der ophæver tyngdekraften</w:t>
      </w:r>
    </w:p>
    <w:p w14:paraId="2914443A" w14:textId="77777777" w:rsidR="008C3CD1" w:rsidRDefault="008C3CD1" w:rsidP="008C3CD1">
      <w:pPr>
        <w:rPr>
          <w:rFonts w:eastAsiaTheme="minorEastAsia"/>
        </w:rPr>
      </w:pPr>
    </w:p>
    <w:p w14:paraId="098A28CF" w14:textId="77777777" w:rsidR="008C3CD1" w:rsidRPr="00952C9D" w:rsidRDefault="00000000" w:rsidP="008C3CD1">
      <w:pPr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 xml:space="preserve">s, lodret 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>t</m:t>
              </m:r>
            </m:sub>
          </m:sSub>
        </m:oMath>
      </m:oMathPara>
    </w:p>
    <w:p w14:paraId="144C4878" w14:textId="77777777" w:rsidR="008C3CD1" w:rsidRPr="00952C9D" w:rsidRDefault="008C3CD1" w:rsidP="008C3CD1">
      <w:pPr>
        <w:rPr>
          <w:rFonts w:eastAsiaTheme="minorEastAsia"/>
          <w:lang w:val="en-US"/>
        </w:rPr>
      </w:pPr>
    </w:p>
    <w:p w14:paraId="4D84F112" w14:textId="3EE0A7EE" w:rsidR="008C3CD1" w:rsidRPr="00B42B74" w:rsidRDefault="00000000" w:rsidP="008C3CD1">
      <w:pPr>
        <w:rPr>
          <w:rFonts w:eastAsiaTheme="minorEastAsia"/>
          <w:color w:val="00B05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B050"/>
                </w:rPr>
              </m:ctrlPr>
            </m:sSubPr>
            <m:e>
              <m:r>
                <w:rPr>
                  <w:rFonts w:ascii="Cambria Math" w:hAnsi="Cambria Math"/>
                  <w:color w:val="00B050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B050"/>
                  <w:lang w:val="en-US"/>
                </w:rPr>
                <m:t>s</m:t>
              </m:r>
            </m:sub>
          </m:sSub>
          <m:func>
            <m:funcPr>
              <m:ctrlPr>
                <w:rPr>
                  <w:rFonts w:ascii="Cambria Math" w:hAnsi="Cambria Math"/>
                  <w:i/>
                  <w:color w:val="00B050"/>
                </w:rPr>
              </m:ctrlPr>
            </m:funcPr>
            <m:fName>
              <m:r>
                <w:rPr>
                  <w:rFonts w:ascii="Cambria Math" w:hAnsi="Cambria Math"/>
                  <w:color w:val="00B050"/>
                </w:rPr>
                <m:t>∙</m:t>
              </m:r>
              <m:r>
                <m:rPr>
                  <m:sty m:val="p"/>
                </m:rPr>
                <w:rPr>
                  <w:rFonts w:ascii="Cambria Math" w:hAnsi="Cambria Math"/>
                  <w:color w:val="00B050"/>
                  <w:lang w:val="en-US"/>
                </w:rPr>
                <m:t>cos</m:t>
              </m:r>
            </m:fName>
            <m:e>
              <m:r>
                <w:rPr>
                  <w:rFonts w:ascii="Cambria Math" w:hAnsi="Cambria Math"/>
                  <w:color w:val="00B050"/>
                </w:rPr>
                <m:t>θ</m:t>
              </m:r>
            </m:e>
          </m:func>
          <m:r>
            <w:rPr>
              <w:rFonts w:ascii="Cambria Math" w:hAnsi="Cambria Math"/>
              <w:color w:val="00B050"/>
              <w:lang w:val="en-US"/>
            </w:rPr>
            <m:t>=</m:t>
          </m:r>
          <m:r>
            <w:rPr>
              <w:rFonts w:ascii="Cambria Math" w:hAnsi="Cambria Math"/>
              <w:color w:val="00B050"/>
            </w:rPr>
            <m:t>m</m:t>
          </m:r>
          <m:r>
            <w:rPr>
              <w:rFonts w:ascii="Cambria Math" w:hAnsi="Cambria Math"/>
            </w:rPr>
            <m:t>∙</m:t>
          </m:r>
          <m:r>
            <w:rPr>
              <w:rFonts w:ascii="Cambria Math" w:hAnsi="Cambria Math"/>
              <w:color w:val="00B050"/>
            </w:rPr>
            <m:t>g</m:t>
          </m:r>
        </m:oMath>
      </m:oMathPara>
    </w:p>
    <w:p w14:paraId="00211257" w14:textId="77777777" w:rsidR="008C3CD1" w:rsidRDefault="008C3CD1" w:rsidP="008C3CD1">
      <w:pPr>
        <w:rPr>
          <w:rFonts w:eastAsiaTheme="minorEastAsia"/>
          <w:lang w:val="en-US"/>
        </w:rPr>
      </w:pPr>
    </w:p>
    <w:p w14:paraId="0FC93C12" w14:textId="77777777" w:rsidR="008C3CD1" w:rsidRDefault="008C3CD1" w:rsidP="008C3CD1">
      <w:pPr>
        <w:rPr>
          <w:rFonts w:eastAsiaTheme="minorEastAsia"/>
        </w:rPr>
      </w:pPr>
      <w:r w:rsidRPr="00B42B74">
        <w:rPr>
          <w:rFonts w:eastAsiaTheme="minorEastAsia"/>
        </w:rPr>
        <w:t>Ved at divider</w:t>
      </w:r>
      <w:r>
        <w:rPr>
          <w:rFonts w:eastAsiaTheme="minorEastAsia"/>
        </w:rPr>
        <w:t>e</w:t>
      </w:r>
      <w:r w:rsidRPr="00B42B74">
        <w:rPr>
          <w:rFonts w:eastAsiaTheme="minorEastAsia"/>
        </w:rPr>
        <w:t xml:space="preserve"> den r</w:t>
      </w:r>
      <w:r>
        <w:rPr>
          <w:rFonts w:eastAsiaTheme="minorEastAsia"/>
        </w:rPr>
        <w:t>øde ligning med den grønne ligning, fås</w:t>
      </w:r>
    </w:p>
    <w:p w14:paraId="36123550" w14:textId="77777777" w:rsidR="008C3CD1" w:rsidRPr="00B42B74" w:rsidRDefault="008C3CD1" w:rsidP="008C3CD1">
      <w:pPr>
        <w:rPr>
          <w:rFonts w:eastAsiaTheme="minorEastAsia"/>
        </w:rPr>
      </w:pPr>
    </w:p>
    <w:p w14:paraId="73941DCD" w14:textId="3FCEC699" w:rsidR="008C3CD1" w:rsidRDefault="00000000" w:rsidP="008C3CD1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EE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EE0000"/>
                    </w:rPr>
                    <m:t>F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EE0000"/>
                      <w:lang w:val="en-US"/>
                    </w:rPr>
                    <m:t>s</m:t>
                  </m:r>
                </m:sub>
              </m:sSub>
              <m:func>
                <m:funcPr>
                  <m:ctrlPr>
                    <w:rPr>
                      <w:rFonts w:ascii="Cambria Math" w:hAnsi="Cambria Math"/>
                      <w:i/>
                      <w:color w:val="EE0000"/>
                    </w:rPr>
                  </m:ctrlPr>
                </m:funcPr>
                <m:fName>
                  <m:r>
                    <w:rPr>
                      <w:rFonts w:ascii="Cambria Math" w:hAnsi="Cambria Math"/>
                      <w:color w:val="EE0000"/>
                    </w:rPr>
                    <m:t>∙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EE0000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color w:val="EE0000"/>
                    </w:rPr>
                    <m:t>θ</m:t>
                  </m:r>
                </m:e>
              </m:func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B05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B050"/>
                    </w:rPr>
                    <m:t>F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B050"/>
                      <w:lang w:val="en-US"/>
                    </w:rPr>
                    <m:t>s</m:t>
                  </m:r>
                </m:sub>
              </m:sSub>
              <m:func>
                <m:funcPr>
                  <m:ctrlPr>
                    <w:rPr>
                      <w:rFonts w:ascii="Cambria Math" w:hAnsi="Cambria Math"/>
                      <w:i/>
                      <w:color w:val="00B050"/>
                    </w:rPr>
                  </m:ctrlPr>
                </m:funcPr>
                <m:fName>
                  <m:r>
                    <w:rPr>
                      <w:rFonts w:ascii="Cambria Math" w:hAnsi="Cambria Math"/>
                      <w:color w:val="00B050"/>
                    </w:rPr>
                    <m:t>∙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B050"/>
                      <w:lang w:val="en-US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color w:val="00B050"/>
                    </w:rPr>
                    <m:t>θ</m:t>
                  </m:r>
                </m:e>
              </m:func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color w:val="EE0000"/>
                </w:rPr>
                <m:t>m</m:t>
              </m:r>
              <m:r>
                <w:rPr>
                  <w:rFonts w:ascii="Cambria Math" w:hAnsi="Cambria Math"/>
                  <w:color w:val="EE0000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color w:val="EE000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EE000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EE0000"/>
                        </w:rPr>
                        <m:t>v</m:t>
                      </m:r>
                    </m:e>
                    <m:sup>
                      <m:r>
                        <w:rPr>
                          <w:rFonts w:ascii="Cambria Math" w:hAnsi="Cambria Math"/>
                          <w:color w:val="EE0000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color w:val="EE0000"/>
                    </w:rPr>
                    <m:t>r</m:t>
                  </m:r>
                </m:den>
              </m:f>
            </m:num>
            <m:den>
              <m:r>
                <w:rPr>
                  <w:rFonts w:ascii="Cambria Math" w:hAnsi="Cambria Math"/>
                  <w:color w:val="00B050"/>
                </w:rPr>
                <m:t>m</m:t>
              </m:r>
              <m:r>
                <w:rPr>
                  <w:rFonts w:ascii="Cambria Math" w:hAnsi="Cambria Math"/>
                  <w:color w:val="00B050"/>
                </w:rPr>
                <m:t>∙</m:t>
              </m:r>
              <m:r>
                <w:rPr>
                  <w:rFonts w:ascii="Cambria Math" w:hAnsi="Cambria Math"/>
                  <w:color w:val="00B050"/>
                </w:rPr>
                <m:t>g</m:t>
              </m:r>
            </m:den>
          </m:f>
          <m:r>
            <w:rPr>
              <w:rFonts w:ascii="Cambria Math" w:eastAsiaTheme="minorEastAsia" w:hAnsi="Cambria Math"/>
            </w:rPr>
            <m:t>⇒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tan</m:t>
              </m:r>
            </m:fName>
            <m:e>
              <m:r>
                <w:rPr>
                  <w:rFonts w:ascii="Cambria Math" w:eastAsiaTheme="minorEastAsia" w:hAnsi="Cambria Math"/>
                </w:rPr>
                <m:t>θ=</m:t>
              </m:r>
            </m:e>
          </m:func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g</m:t>
              </m:r>
              <m:r>
                <w:rPr>
                  <w:rFonts w:ascii="Cambria Math" w:hAnsi="Cambria Math"/>
                </w:rPr>
                <m:t>∙</m:t>
              </m:r>
              <m:r>
                <w:rPr>
                  <w:rFonts w:ascii="Cambria Math" w:hAnsi="Cambria Math"/>
                </w:rPr>
                <m:t>r</m:t>
              </m:r>
            </m:den>
          </m:f>
          <m:r>
            <w:rPr>
              <w:rFonts w:ascii="Cambria Math" w:eastAsiaTheme="minorEastAsia" w:hAnsi="Cambria Math"/>
            </w:rPr>
            <m:t>⇒</m:t>
          </m:r>
          <m:r>
            <w:rPr>
              <w:rFonts w:ascii="Cambria Math" w:hAnsi="Cambria Math"/>
            </w:rPr>
            <m:t>v=</m:t>
          </m:r>
          <m:rad>
            <m:radPr>
              <m:degHide m:val="1"/>
              <m:ctrlPr>
                <w:rPr>
                  <w:rFonts w:ascii="Cambria Math" w:hAnsi="Cambria Math"/>
                  <w:i/>
                  <w:lang w:eastAsia="en-US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g∙r∙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tan</m:t>
                  </m:r>
                </m:fName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</m:func>
            </m:e>
          </m:rad>
        </m:oMath>
      </m:oMathPara>
    </w:p>
    <w:p w14:paraId="1448286D" w14:textId="77777777" w:rsidR="008C3CD1" w:rsidRPr="00B42B74" w:rsidRDefault="008C3CD1" w:rsidP="008C3CD1">
      <w:pPr>
        <w:rPr>
          <w:rFonts w:eastAsiaTheme="minorEastAsia"/>
          <w:lang w:val="en-US"/>
        </w:rPr>
      </w:pPr>
    </w:p>
    <w:p w14:paraId="2F43A71B" w14:textId="77777777" w:rsidR="008C3CD1" w:rsidRPr="00CC5363" w:rsidRDefault="008C3CD1" w:rsidP="008C3CD1">
      <w:pPr>
        <w:rPr>
          <w:rFonts w:eastAsiaTheme="minorEastAsia"/>
        </w:rPr>
      </w:pPr>
    </w:p>
    <w:p w14:paraId="516E718D" w14:textId="38097455" w:rsidR="008C3CD1" w:rsidRPr="005D07EA" w:rsidRDefault="008C3CD1" w:rsidP="008C3CD1">
      <w:pPr>
        <w:rPr>
          <w:rFonts w:eastAsiaTheme="minorEastAsia"/>
        </w:rPr>
      </w:pPr>
      <w:r w:rsidRPr="005D07EA">
        <w:rPr>
          <w:rFonts w:eastAsiaTheme="minorEastAsia"/>
          <w:b/>
          <w:bCs/>
        </w:rPr>
        <w:t xml:space="preserve">Opgave </w:t>
      </w:r>
      <w:r>
        <w:rPr>
          <w:rFonts w:eastAsiaTheme="minorEastAsia"/>
          <w:b/>
          <w:bCs/>
        </w:rPr>
        <w:t>1</w:t>
      </w:r>
    </w:p>
    <w:p w14:paraId="150717A6" w14:textId="77777777" w:rsidR="008C3CD1" w:rsidRDefault="008C3CD1" w:rsidP="008C3CD1">
      <w:pPr>
        <w:pStyle w:val="Listeafsnit"/>
        <w:numPr>
          <w:ilvl w:val="0"/>
          <w:numId w:val="1"/>
        </w:numPr>
        <w:spacing w:after="200"/>
      </w:pPr>
      <w:r w:rsidRPr="00C57AB5">
        <w:t xml:space="preserve">Hvor stor er farten, når </w:t>
      </w:r>
      <m:oMath>
        <m:r>
          <w:rPr>
            <w:rFonts w:ascii="Cambria Math" w:hAnsi="Cambria Math"/>
          </w:rPr>
          <m:t>θ=45°, r=0,4 m</m:t>
        </m:r>
      </m:oMath>
      <w:r w:rsidRPr="00C57AB5">
        <w:t xml:space="preserve"> og </w:t>
      </w:r>
      <m:oMath>
        <m:r>
          <w:rPr>
            <w:rFonts w:ascii="Cambria Math" w:hAnsi="Cambria Math"/>
          </w:rPr>
          <m:t>g</m:t>
        </m:r>
        <m:r>
          <m:rPr>
            <m:nor/>
          </m:rPr>
          <w:rPr>
            <w:rFonts w:ascii="Cambria Math" w:hAnsi="Cambria Math"/>
          </w:rPr>
          <m:t xml:space="preserve"> = 10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</w:rPr>
              <m:t>N</m:t>
            </m:r>
          </m:num>
          <m:den>
            <m:r>
              <m:rPr>
                <m:nor/>
              </m:rPr>
              <w:rPr>
                <w:rFonts w:ascii="Cambria Math" w:hAnsi="Cambria Math"/>
              </w:rPr>
              <m:t>kg</m:t>
            </m:r>
          </m:den>
        </m:f>
      </m:oMath>
    </w:p>
    <w:p w14:paraId="4374659C" w14:textId="5EF3DB04" w:rsidR="00FF27CD" w:rsidRDefault="002B2928" w:rsidP="0011360F">
      <w:pPr>
        <w:pStyle w:val="Listeafsnit"/>
        <w:numPr>
          <w:ilvl w:val="0"/>
          <w:numId w:val="1"/>
        </w:numPr>
        <w:spacing w:after="200"/>
      </w:pPr>
      <w:r>
        <w:t xml:space="preserve">Beregn vinklen i et </w:t>
      </w:r>
      <w:r w:rsidR="0011360F">
        <w:t>forenklet</w:t>
      </w:r>
      <w:r>
        <w:t xml:space="preserve"> </w:t>
      </w:r>
      <w:r w:rsidRPr="0011360F">
        <w:rPr>
          <w:i/>
          <w:iCs/>
        </w:rPr>
        <w:t>Himmelskib</w:t>
      </w:r>
      <w:r w:rsidR="0011360F">
        <w:rPr>
          <w:i/>
          <w:iCs/>
        </w:rPr>
        <w:t xml:space="preserve"> </w:t>
      </w:r>
      <w:r w:rsidR="0011360F">
        <w:t>(kæderne er anbragt som vist i figuren øverst på siden)</w:t>
      </w:r>
      <w:r>
        <w:t>, hvor kædelængden er 8 m</w:t>
      </w:r>
      <w:r w:rsidR="0011360F">
        <w:t>,</w:t>
      </w:r>
      <w:r>
        <w:t xml:space="preserve"> og</w:t>
      </w:r>
      <w:r w:rsidR="0011360F">
        <w:t xml:space="preserve"> </w:t>
      </w:r>
      <w:r>
        <w:t>der er 10 omdrejninger per minut</w:t>
      </w:r>
      <w:r w:rsidR="0011360F">
        <w:t>.</w:t>
      </w:r>
    </w:p>
    <w:p w14:paraId="10C9E470" w14:textId="0A6CEEDD" w:rsidR="002B2928" w:rsidRDefault="002B2928" w:rsidP="002B2928">
      <w:r>
        <w:t xml:space="preserve"> </w:t>
      </w:r>
    </w:p>
    <w:p w14:paraId="4C230496" w14:textId="77777777" w:rsidR="008C3CD1" w:rsidRPr="00B27B7F" w:rsidRDefault="008C3CD1" w:rsidP="008C3CD1">
      <w:pPr>
        <w:rPr>
          <w:i/>
          <w:iCs/>
        </w:rPr>
      </w:pPr>
      <w:r w:rsidRPr="00B27B7F">
        <w:rPr>
          <w:i/>
          <w:iCs/>
        </w:rPr>
        <w:lastRenderedPageBreak/>
        <w:t>Bemærkning om centripetalkr</w:t>
      </w:r>
      <w:r>
        <w:rPr>
          <w:i/>
          <w:iCs/>
        </w:rPr>
        <w:t>aften</w:t>
      </w:r>
    </w:p>
    <w:p w14:paraId="7673BAB1" w14:textId="77777777" w:rsidR="008C3CD1" w:rsidRDefault="008C3CD1" w:rsidP="008C3CD1">
      <w:r>
        <w:t xml:space="preserve">Centripetalkraften er </w:t>
      </w:r>
      <w:r w:rsidRPr="00B27B7F">
        <w:rPr>
          <w:i/>
          <w:iCs/>
        </w:rPr>
        <w:t>aldrig</w:t>
      </w:r>
      <w:r>
        <w:t xml:space="preserve"> en selvstændig kraft, men den opstår </w:t>
      </w:r>
      <w:r w:rsidRPr="00B27B7F">
        <w:rPr>
          <w:i/>
          <w:iCs/>
        </w:rPr>
        <w:t>altid</w:t>
      </w:r>
      <w:r>
        <w:t xml:space="preserve"> som et resultat af virkelige kræfter, som fx normalkraft, snor kraft, tyngdekraft, elektriske eller magnetisk kraft. Centripetalkraften er den til cirkelbevægelsen nødvendige mod centrum rettede kraft, der fremkommer som en </w:t>
      </w:r>
      <w:proofErr w:type="spellStart"/>
      <w:r>
        <w:t>komposant</w:t>
      </w:r>
      <w:proofErr w:type="spellEnd"/>
      <w:r>
        <w:t xml:space="preserve"> eller en sum af virkelig kræfter.</w:t>
      </w:r>
    </w:p>
    <w:p w14:paraId="50CE0E16" w14:textId="77777777" w:rsidR="008C3CD1" w:rsidRPr="00BD0CA9" w:rsidRDefault="008C3CD1" w:rsidP="008C3CD1">
      <w:hyperlink r:id="rId6" w:history="1">
        <w:r w:rsidRPr="00026136">
          <w:rPr>
            <w:rStyle w:val="Hyperlink"/>
            <w:rFonts w:eastAsiaTheme="majorEastAsia"/>
          </w:rPr>
          <w:t>https://phys.libretexts.org/Workbench/PH_245_Textbook_V2/10%3A_Fixed-Axis_Rotation__Introduction/10.03%3A_Centripetal_Force</w:t>
        </w:r>
      </w:hyperlink>
    </w:p>
    <w:p w14:paraId="0BFF5084" w14:textId="77777777" w:rsidR="008C3CD1" w:rsidRDefault="008C3CD1" w:rsidP="008C3CD1">
      <w:pPr>
        <w:pStyle w:val="Overskrift2"/>
        <w:rPr>
          <w:rFonts w:eastAsiaTheme="minorEastAsia"/>
        </w:rPr>
      </w:pPr>
    </w:p>
    <w:p w14:paraId="14351D2D" w14:textId="77777777" w:rsidR="008C3CD1" w:rsidRDefault="008C3CD1"/>
    <w:sectPr w:rsidR="008C3CD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57B54"/>
    <w:multiLevelType w:val="hybridMultilevel"/>
    <w:tmpl w:val="42BCA16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139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CD1"/>
    <w:rsid w:val="0011360F"/>
    <w:rsid w:val="002B2928"/>
    <w:rsid w:val="008C3CD1"/>
    <w:rsid w:val="00CE1010"/>
    <w:rsid w:val="00FD6873"/>
    <w:rsid w:val="00FF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8D873F"/>
  <w15:chartTrackingRefBased/>
  <w15:docId w15:val="{C2906CB2-D0B0-3A4D-85FA-925F602F8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CD1"/>
    <w:pPr>
      <w:spacing w:after="0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C3C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C3C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C3C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C3C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C3C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C3C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C3C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C3C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C3C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C3C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C3C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C3C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C3CD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C3CD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C3CD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C3CD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C3CD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C3C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C3C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C3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C3C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C3C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C3C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C3CD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C3CD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C3CD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C3C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C3CD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C3C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8C3CD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hys.libretexts.org/Workbench/PH_245_Textbook_V2/10%3A_Fixed-Axis_Rotation__Introduction/10.03%3A_Centripetal_Forc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271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4</cp:revision>
  <dcterms:created xsi:type="dcterms:W3CDTF">2025-10-03T11:41:00Z</dcterms:created>
  <dcterms:modified xsi:type="dcterms:W3CDTF">2025-10-06T04:21:00Z</dcterms:modified>
</cp:coreProperties>
</file>