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CEE" w:rsidRPr="008D1ECB" w:rsidRDefault="00E82CEE" w:rsidP="008D1ECB">
      <w:pPr>
        <w:pStyle w:val="Overskrift1"/>
        <w:rPr>
          <w:b/>
          <w:color w:val="auto"/>
        </w:rPr>
      </w:pPr>
      <w:r w:rsidRPr="008D1ECB">
        <w:rPr>
          <w:b/>
          <w:color w:val="auto"/>
        </w:rPr>
        <w:t>Årsagsforklaring:</w:t>
      </w: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Indledning - hvad er årsagsforklaringer</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xml:space="preserve">Årsagsforklaringer handler om at forklare hvorfor forskellige begivenheder eller udviklinger sker i historien. Det er noget historikere har været meget optaget af. Men ikke kun historikere, men også mange der anvender historiebrug er optaget af at lave årsagsforklaringer, særligt når historien bruges som læremester. </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Holberg siger om historie videnskab:</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i/>
          <w:iCs/>
          <w:color w:val="000000"/>
          <w:lang w:eastAsia="da-DK"/>
        </w:rPr>
        <w:t xml:space="preserve">’At være et </w:t>
      </w:r>
      <w:proofErr w:type="spellStart"/>
      <w:r w:rsidRPr="00E82CEE">
        <w:rPr>
          <w:rFonts w:ascii="Calibri" w:eastAsia="Times New Roman" w:hAnsi="Calibri" w:cs="Times New Roman"/>
          <w:i/>
          <w:iCs/>
          <w:color w:val="000000"/>
          <w:lang w:eastAsia="da-DK"/>
        </w:rPr>
        <w:t>Speil</w:t>
      </w:r>
      <w:proofErr w:type="spellEnd"/>
      <w:r w:rsidRPr="00E82CEE">
        <w:rPr>
          <w:rFonts w:ascii="Calibri" w:eastAsia="Times New Roman" w:hAnsi="Calibri" w:cs="Times New Roman"/>
          <w:i/>
          <w:iCs/>
          <w:color w:val="000000"/>
          <w:lang w:eastAsia="da-DK"/>
        </w:rPr>
        <w:t xml:space="preserve">, </w:t>
      </w:r>
      <w:proofErr w:type="spellStart"/>
      <w:r w:rsidRPr="00E82CEE">
        <w:rPr>
          <w:rFonts w:ascii="Calibri" w:eastAsia="Times New Roman" w:hAnsi="Calibri" w:cs="Times New Roman"/>
          <w:i/>
          <w:iCs/>
          <w:color w:val="000000"/>
          <w:lang w:eastAsia="da-DK"/>
        </w:rPr>
        <w:t>hvorudi</w:t>
      </w:r>
      <w:proofErr w:type="spellEnd"/>
      <w:r w:rsidRPr="00E82CEE">
        <w:rPr>
          <w:rFonts w:ascii="Calibri" w:eastAsia="Times New Roman" w:hAnsi="Calibri" w:cs="Times New Roman"/>
          <w:i/>
          <w:iCs/>
          <w:color w:val="000000"/>
          <w:lang w:eastAsia="da-DK"/>
        </w:rPr>
        <w:t xml:space="preserve"> man af forbigangne Ting kan se og dømme om tilkommende, og lære at </w:t>
      </w:r>
      <w:proofErr w:type="spellStart"/>
      <w:r w:rsidRPr="00E82CEE">
        <w:rPr>
          <w:rFonts w:ascii="Calibri" w:eastAsia="Times New Roman" w:hAnsi="Calibri" w:cs="Times New Roman"/>
          <w:i/>
          <w:iCs/>
          <w:color w:val="000000"/>
          <w:lang w:eastAsia="da-DK"/>
        </w:rPr>
        <w:t>kiende</w:t>
      </w:r>
      <w:proofErr w:type="spellEnd"/>
      <w:r w:rsidRPr="00E82CEE">
        <w:rPr>
          <w:rFonts w:ascii="Calibri" w:eastAsia="Times New Roman" w:hAnsi="Calibri" w:cs="Times New Roman"/>
          <w:i/>
          <w:iCs/>
          <w:color w:val="000000"/>
          <w:lang w:eastAsia="da-DK"/>
        </w:rPr>
        <w:t xml:space="preserve"> sig selv tillige med andre, og erhverve sig den solideste Kundskab udi Morale, Jura-</w:t>
      </w:r>
      <w:proofErr w:type="spellStart"/>
      <w:r w:rsidRPr="00E82CEE">
        <w:rPr>
          <w:rFonts w:ascii="Calibri" w:eastAsia="Times New Roman" w:hAnsi="Calibri" w:cs="Times New Roman"/>
          <w:i/>
          <w:iCs/>
          <w:color w:val="000000"/>
          <w:lang w:eastAsia="da-DK"/>
        </w:rPr>
        <w:t>publico</w:t>
      </w:r>
      <w:proofErr w:type="spellEnd"/>
      <w:r w:rsidRPr="00E82CEE">
        <w:rPr>
          <w:rFonts w:ascii="Calibri" w:eastAsia="Times New Roman" w:hAnsi="Calibri" w:cs="Times New Roman"/>
          <w:i/>
          <w:iCs/>
          <w:color w:val="000000"/>
          <w:lang w:eastAsia="da-DK"/>
        </w:rPr>
        <w:t xml:space="preserve"> og Stats-Sager, udi hvilken Henseende Historiers Læsning </w:t>
      </w:r>
      <w:proofErr w:type="spellStart"/>
      <w:r w:rsidRPr="00E82CEE">
        <w:rPr>
          <w:rFonts w:ascii="Calibri" w:eastAsia="Times New Roman" w:hAnsi="Calibri" w:cs="Times New Roman"/>
          <w:i/>
          <w:iCs/>
          <w:color w:val="000000"/>
          <w:lang w:eastAsia="da-DK"/>
        </w:rPr>
        <w:t>fornemmeligen</w:t>
      </w:r>
      <w:proofErr w:type="spellEnd"/>
      <w:r w:rsidRPr="00E82CEE">
        <w:rPr>
          <w:rFonts w:ascii="Calibri" w:eastAsia="Times New Roman" w:hAnsi="Calibri" w:cs="Times New Roman"/>
          <w:i/>
          <w:iCs/>
          <w:color w:val="000000"/>
          <w:lang w:eastAsia="da-DK"/>
        </w:rPr>
        <w:t xml:space="preserve"> </w:t>
      </w:r>
      <w:proofErr w:type="spellStart"/>
      <w:r w:rsidRPr="00E82CEE">
        <w:rPr>
          <w:rFonts w:ascii="Calibri" w:eastAsia="Times New Roman" w:hAnsi="Calibri" w:cs="Times New Roman"/>
          <w:i/>
          <w:iCs/>
          <w:color w:val="000000"/>
          <w:lang w:eastAsia="da-DK"/>
        </w:rPr>
        <w:t>recommenderes</w:t>
      </w:r>
      <w:proofErr w:type="spellEnd"/>
      <w:r w:rsidRPr="00E82CEE">
        <w:rPr>
          <w:rFonts w:ascii="Calibri" w:eastAsia="Times New Roman" w:hAnsi="Calibri" w:cs="Times New Roman"/>
          <w:i/>
          <w:iCs/>
          <w:color w:val="000000"/>
          <w:lang w:eastAsia="da-DK"/>
        </w:rPr>
        <w:t xml:space="preserve"> Regenter og høje Stands Personer, som der allervigtigste af verdslige </w:t>
      </w:r>
      <w:proofErr w:type="spellStart"/>
      <w:r w:rsidRPr="00E82CEE">
        <w:rPr>
          <w:rFonts w:ascii="Calibri" w:eastAsia="Times New Roman" w:hAnsi="Calibri" w:cs="Times New Roman"/>
          <w:i/>
          <w:iCs/>
          <w:color w:val="000000"/>
          <w:lang w:eastAsia="da-DK"/>
        </w:rPr>
        <w:t>studiis</w:t>
      </w:r>
      <w:proofErr w:type="spellEnd"/>
      <w:r w:rsidRPr="00E82CEE">
        <w:rPr>
          <w:rFonts w:ascii="Calibri" w:eastAsia="Times New Roman" w:hAnsi="Calibri" w:cs="Times New Roman"/>
          <w:color w:val="000000"/>
          <w:lang w:eastAsia="da-DK"/>
        </w:rPr>
        <w:t>’.</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Forudsætningen for at kunne bruge historien som læremester er at man kan forklare HVORFOR noget er sket, så man kan gentage eller undgå at gentage det samme. Altså så man er bedre rustet til at imødegå de udfordringer som fremtiden giver.</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xml:space="preserve">Forskellen på når ikke-historikere og historikere forsøger at forklare fortiden er at ikke-historikere ofte ikke er systematiske i deres analyse og ofte har et andet formål end blot at forstå historien. Her kommer historiebrug igen i spil. Historikere (og andre med en systematisk analytisk tilgang til forskning) bruger årsagsforklaringer til at forklare historiens gang. </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En del af denne systematik er fx at kortlægge om det er personers intentioner og handlinger som er afgørende i historien (aktør-perspektivet) eller om det er nogle indbyggede strukturer i samfundet/verden som forklare udviklinger og begivenheder. Ofte vil det være en kombination, da forklaringer i historie (som i andre samfundsvidenskaber) sjældent er sort-hvide. Men nogle årsagsforklaringer kan have større forklaringskraft end andre.</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Årsagsforklaringer handler altså om at forstå hvorfor udviklinger eller begivenheder er sket.</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Typologien i årsagsforklaringer</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xml:space="preserve">Typologien er udvikling af typologien fra ‘Kultur og Samfund’ af </w:t>
      </w:r>
      <w:proofErr w:type="spellStart"/>
      <w:r w:rsidRPr="00E82CEE">
        <w:rPr>
          <w:rFonts w:ascii="Calibri" w:eastAsia="Times New Roman" w:hAnsi="Calibri" w:cs="Times New Roman"/>
          <w:color w:val="000000"/>
          <w:lang w:eastAsia="da-DK"/>
        </w:rPr>
        <w:t>Reimick</w:t>
      </w:r>
      <w:proofErr w:type="spellEnd"/>
      <w:r w:rsidRPr="00E82CEE">
        <w:rPr>
          <w:rFonts w:ascii="Calibri" w:eastAsia="Times New Roman" w:hAnsi="Calibri" w:cs="Times New Roman"/>
          <w:color w:val="000000"/>
          <w:lang w:eastAsia="da-DK"/>
        </w:rPr>
        <w:t xml:space="preserve"> m.fl. (s. 28-29)</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b/>
          <w:bCs/>
          <w:color w:val="000000"/>
          <w:lang w:eastAsia="da-DK"/>
        </w:rPr>
        <w:t>To typer årsager:</w:t>
      </w:r>
    </w:p>
    <w:p w:rsidR="00E82CEE" w:rsidRPr="00E82CEE" w:rsidRDefault="00E82CEE" w:rsidP="00E82CEE">
      <w:pPr>
        <w:numPr>
          <w:ilvl w:val="0"/>
          <w:numId w:val="1"/>
        </w:numPr>
        <w:spacing w:before="40"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Bagvedliggende</w:t>
      </w:r>
    </w:p>
    <w:p w:rsidR="00E82CEE" w:rsidRPr="00E82CEE" w:rsidRDefault="00E82CEE" w:rsidP="00E82CEE">
      <w:pPr>
        <w:numPr>
          <w:ilvl w:val="0"/>
          <w:numId w:val="1"/>
        </w:numPr>
        <w:spacing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Udløsende</w:t>
      </w: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Udløsende årsager</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En udløsende årsag er den umiddelbare årsag til at en begivenhed indtræffer – men denne forklaring ville sjældent være nok i sig selv, hvis det ikke var fordi der var nogle grundlæggende bagvedliggende årsagsforklaringer på plads.</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xml:space="preserve"> Det der er væsentligt ved de udløsende årsagsforklaringer er det er dem der </w:t>
      </w:r>
      <w:proofErr w:type="gramStart"/>
      <w:r w:rsidRPr="00E82CEE">
        <w:rPr>
          <w:rFonts w:ascii="Calibri" w:eastAsia="Times New Roman" w:hAnsi="Calibri" w:cs="Times New Roman"/>
          <w:color w:val="000000"/>
          <w:lang w:eastAsia="da-DK"/>
        </w:rPr>
        <w:t>‘aktivere’</w:t>
      </w:r>
      <w:proofErr w:type="gramEnd"/>
      <w:r w:rsidRPr="00E82CEE">
        <w:rPr>
          <w:rFonts w:ascii="Calibri" w:eastAsia="Times New Roman" w:hAnsi="Calibri" w:cs="Times New Roman"/>
          <w:color w:val="000000"/>
          <w:lang w:eastAsia="da-DK"/>
        </w:rPr>
        <w:t xml:space="preserve"> de bagvedliggende årsagsforklaringer og starter noget nyt. Ofte er udløsende årsagsforklaringer helt centrale for de periodiseringsprincipper vi har.</w:t>
      </w:r>
    </w:p>
    <w:p w:rsidR="00E82CEE" w:rsidRDefault="00E82CEE" w:rsidP="00E82CEE">
      <w:pPr>
        <w:spacing w:before="240" w:after="40" w:line="240" w:lineRule="auto"/>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 </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b/>
          <w:bCs/>
          <w:color w:val="000000"/>
          <w:lang w:eastAsia="da-DK"/>
        </w:rPr>
        <w:lastRenderedPageBreak/>
        <w:t>Eksempel</w:t>
      </w:r>
    </w:p>
    <w:p w:rsidR="00E82CEE" w:rsidRPr="00E82CEE" w:rsidRDefault="00E82CEE" w:rsidP="00E82CEE">
      <w:pPr>
        <w:numPr>
          <w:ilvl w:val="0"/>
          <w:numId w:val="2"/>
        </w:numPr>
        <w:spacing w:before="40" w:after="80" w:line="240" w:lineRule="auto"/>
        <w:textAlignment w:val="baseline"/>
        <w:rPr>
          <w:rFonts w:ascii="Arial" w:eastAsia="Times New Roman" w:hAnsi="Arial" w:cs="Arial"/>
          <w:color w:val="000000"/>
          <w:lang w:eastAsia="da-DK"/>
        </w:rPr>
      </w:pPr>
      <w:r w:rsidRPr="00E82CEE">
        <w:rPr>
          <w:rFonts w:ascii="Calibri" w:eastAsia="Times New Roman" w:hAnsi="Calibri" w:cs="Arial"/>
          <w:color w:val="000000"/>
          <w:lang w:eastAsia="da-DK"/>
        </w:rPr>
        <w:t>Skuddet i Sarajevo</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Bagvedliggende årsagsforklaringer</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En bagvedliggende årsag er den eller de dybere og mere langsigtede årsager til en begivenhed eller udvikling. De er nødvendige men ikke (altid) i sig selv tilstrækkelige betingelser for at en begivenhed eller udvikling finder sted.</w:t>
      </w:r>
    </w:p>
    <w:p w:rsidR="00E82CEE" w:rsidRPr="00E82CEE" w:rsidRDefault="00E82CEE" w:rsidP="00E82CEE">
      <w:pPr>
        <w:spacing w:before="240" w:after="40"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Ofte vil det være de bagvedliggende årsager vi søger at forklare i historie. Dette skyldes at det er her vi måske kan blive klogere – udløsende årsager er ofte så kontekst specifikke at de ikke gentages, men hvis man fx studerer forskellige lande, der har indført et velfungerende demokrati, så kan man måske finde nogle bagvedliggende årsager til denne udvikling og at det lykkedes. Den specifikke udløsende årsag – vil ofte variere meget, men fx kan der være nogle grundlæggende strukturelle forhold som giver os forklaringskraft.</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before="40" w:after="80"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Et eksempel på den strukturelle økonomiske forklaring på demokrati</w:t>
      </w:r>
    </w:p>
    <w:p w:rsidR="00E82CEE" w:rsidRPr="00E82CEE" w:rsidRDefault="00E82CEE" w:rsidP="00E82CEE">
      <w:pPr>
        <w:numPr>
          <w:ilvl w:val="0"/>
          <w:numId w:val="3"/>
        </w:numPr>
        <w:spacing w:line="240" w:lineRule="auto"/>
        <w:textAlignment w:val="baseline"/>
        <w:rPr>
          <w:rFonts w:ascii="Arial" w:eastAsia="Times New Roman" w:hAnsi="Arial" w:cs="Arial"/>
          <w:color w:val="000000"/>
          <w:lang w:eastAsia="da-DK"/>
        </w:rPr>
      </w:pPr>
      <w:r w:rsidRPr="00E82CEE">
        <w:rPr>
          <w:rFonts w:ascii="Calibri" w:eastAsia="Times New Roman" w:hAnsi="Calibri" w:cs="Arial"/>
          <w:color w:val="000000"/>
          <w:lang w:eastAsia="da-DK"/>
        </w:rPr>
        <w:t>Når mennesker bliver rigere i et land, så vil de have råd til at beskæftige sig med andet end bare at overleve og have et behov for også at få indflydelse på eget liv, herunder medbestemmelse politisk – så øget velfærd og økonomi vil fører til en udvikling hen imod et demokrati.</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 xml:space="preserve">Aktør og </w:t>
      </w:r>
      <w:r w:rsidRPr="00FC318C">
        <w:rPr>
          <w:rFonts w:ascii="Calibri" w:eastAsia="Times New Roman" w:hAnsi="Calibri" w:cs="Times New Roman"/>
          <w:b/>
          <w:bCs/>
          <w:color w:val="000000"/>
          <w:sz w:val="28"/>
          <w:szCs w:val="28"/>
          <w:lang w:eastAsia="da-DK"/>
        </w:rPr>
        <w:t>strukturperspektivet</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Ofte diskuteres det om det er personers handlinger og særligt intentioner, som er der forklarende i historien eller om det er nogle grundlæggende strukturer i samfundet/verden som er årsagen. Grunden til at dette er væsentligt at forstå, eller forsøge at forstå er fordi der ofte i den almindelige forståelse af historie ligges meget vægt på individer og personer, og hvis dette perspektiv er sandt så er det svært at forudsige ret meget om fremtiden, mens hvis de sande forklaringer på udviklingerne i gennem historien skal findes i strukturer, så bliver vores m</w:t>
      </w:r>
      <w:bookmarkStart w:id="0" w:name="_GoBack"/>
      <w:bookmarkEnd w:id="0"/>
      <w:r w:rsidRPr="00E82CEE">
        <w:rPr>
          <w:rFonts w:ascii="Calibri" w:eastAsia="Times New Roman" w:hAnsi="Calibri" w:cs="Times New Roman"/>
          <w:color w:val="000000"/>
          <w:lang w:eastAsia="da-DK"/>
        </w:rPr>
        <w:t xml:space="preserve">uligheder for at påvirke fremtiden gennem vores forståelse af fortiden større. </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b/>
          <w:bCs/>
          <w:color w:val="000000"/>
          <w:sz w:val="24"/>
          <w:szCs w:val="24"/>
          <w:lang w:eastAsia="da-DK"/>
        </w:rPr>
        <w:t xml:space="preserve">Tre eksempler (fra Verden efter 1914 af </w:t>
      </w:r>
      <w:proofErr w:type="spellStart"/>
      <w:r w:rsidRPr="00E82CEE">
        <w:rPr>
          <w:rFonts w:ascii="Calibri" w:eastAsia="Times New Roman" w:hAnsi="Calibri" w:cs="Times New Roman"/>
          <w:b/>
          <w:bCs/>
          <w:color w:val="000000"/>
          <w:sz w:val="24"/>
          <w:szCs w:val="24"/>
          <w:lang w:eastAsia="da-DK"/>
        </w:rPr>
        <w:t>Carl-Johan</w:t>
      </w:r>
      <w:proofErr w:type="spellEnd"/>
      <w:r w:rsidRPr="00E82CEE">
        <w:rPr>
          <w:rFonts w:ascii="Calibri" w:eastAsia="Times New Roman" w:hAnsi="Calibri" w:cs="Times New Roman"/>
          <w:b/>
          <w:bCs/>
          <w:color w:val="000000"/>
          <w:sz w:val="24"/>
          <w:szCs w:val="24"/>
          <w:lang w:eastAsia="da-DK"/>
        </w:rPr>
        <w:t xml:space="preserve"> Bryld) på årsagsforklaringer af 1. Verdenskrig </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(som illustrerer de tre hovedgrupper af forklaringer, der er blandt forskere)</w:t>
      </w:r>
    </w:p>
    <w:p w:rsidR="00E82CEE" w:rsidRPr="00E82CEE" w:rsidRDefault="00E82CEE" w:rsidP="00E82CEE">
      <w:pPr>
        <w:numPr>
          <w:ilvl w:val="0"/>
          <w:numId w:val="4"/>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Der er teorier, der fremstiller krigen som uundgåelig som følge af stormagternes imperialistiske politik og deres kaprustning. Det var en tilfældighed, at den blev udløst af skuddet i Sarajevo. Den kunne være udløst af en anden begivenhed, men den var dømt til at finde sted på et eller andet tidspunkt.</w:t>
      </w:r>
    </w:p>
    <w:p w:rsidR="00E82CEE" w:rsidRPr="00E82CEE" w:rsidRDefault="00E82CEE" w:rsidP="00E82CEE">
      <w:pPr>
        <w:numPr>
          <w:ilvl w:val="0"/>
          <w:numId w:val="4"/>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Efter andre opfattelser var krigsudbruddet et tilfældigt og tragisk resultat af fejltagelser og fejlfortolkninger, som politikere og generaler gjorde sig skyldige i. Her lægger man ofte vægt på, at politikerne lod generalernes militære planer og overvejelser køre løbet, så de ansvarlige politikere mistede kontrollen med situationen.</w:t>
      </w:r>
    </w:p>
    <w:p w:rsidR="00E82CEE" w:rsidRPr="00E82CEE" w:rsidRDefault="00E82CEE" w:rsidP="00E82CEE">
      <w:pPr>
        <w:numPr>
          <w:ilvl w:val="0"/>
          <w:numId w:val="4"/>
        </w:numPr>
        <w:spacing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En tredje opfattelse går ud på, at Tyskland var ansvarlig for krigen. Dem var ønsket fra tysk side for at ændre magtfordelingen i Europa og i verden. Denne forklaring ligger tillige ofte vægten på kejseren, og bruges som argument hans fyring af Bismarck som indikation af denne ambition.</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lastRenderedPageBreak/>
        <w:t xml:space="preserve">Den første forklaring er af den strukturelle (politiske mellem landene) type, den tredje er af den aktørorienterede type, der siger at hvis kejseren ikke havde været leder af Tyskland, så var krigen ikke kommet. Den anden forklaring er ikke så tydelig, men er også af den strukturelle (men politisk inden i landene - fordi militærpersoner og ikke </w:t>
      </w:r>
      <w:r w:rsidR="008D1ECB" w:rsidRPr="00E82CEE">
        <w:rPr>
          <w:rFonts w:ascii="Calibri" w:eastAsia="Times New Roman" w:hAnsi="Calibri" w:cs="Times New Roman"/>
          <w:color w:val="000000"/>
          <w:lang w:eastAsia="da-DK"/>
        </w:rPr>
        <w:t>politikkerne</w:t>
      </w:r>
      <w:r w:rsidRPr="00E82CEE">
        <w:rPr>
          <w:rFonts w:ascii="Calibri" w:eastAsia="Times New Roman" w:hAnsi="Calibri" w:cs="Times New Roman"/>
          <w:color w:val="000000"/>
          <w:lang w:eastAsia="da-DK"/>
        </w:rPr>
        <w:t xml:space="preserve"> kørte løbet) type.</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b/>
          <w:bCs/>
          <w:color w:val="000000"/>
          <w:sz w:val="24"/>
          <w:szCs w:val="24"/>
          <w:lang w:eastAsia="da-DK"/>
        </w:rPr>
        <w:t>Nedenstående skema giver en typologi til forskellige bagvedliggende årsagsforklaringer</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 xml:space="preserve">(Tilpasset fra Kultur og Samfund af Sofie </w:t>
      </w:r>
      <w:proofErr w:type="spellStart"/>
      <w:r w:rsidRPr="00E82CEE">
        <w:rPr>
          <w:rFonts w:ascii="Calibri" w:eastAsia="Times New Roman" w:hAnsi="Calibri" w:cs="Times New Roman"/>
          <w:color w:val="000000"/>
          <w:lang w:eastAsia="da-DK"/>
        </w:rPr>
        <w:t>Reimick</w:t>
      </w:r>
      <w:proofErr w:type="spellEnd"/>
      <w:r w:rsidRPr="00E82CEE">
        <w:rPr>
          <w:rFonts w:ascii="Calibri" w:eastAsia="Times New Roman" w:hAnsi="Calibri" w:cs="Times New Roman"/>
          <w:color w:val="000000"/>
          <w:lang w:eastAsia="da-DK"/>
        </w:rPr>
        <w:t>, s. 29)</w:t>
      </w:r>
    </w:p>
    <w:tbl>
      <w:tblPr>
        <w:tblW w:w="0" w:type="auto"/>
        <w:tblCellMar>
          <w:top w:w="15" w:type="dxa"/>
          <w:left w:w="15" w:type="dxa"/>
          <w:bottom w:w="15" w:type="dxa"/>
          <w:right w:w="15" w:type="dxa"/>
        </w:tblCellMar>
        <w:tblLook w:val="04A0" w:firstRow="1" w:lastRow="0" w:firstColumn="1" w:lastColumn="0" w:noHBand="0" w:noVBand="1"/>
      </w:tblPr>
      <w:tblGrid>
        <w:gridCol w:w="1514"/>
        <w:gridCol w:w="1715"/>
        <w:gridCol w:w="6393"/>
      </w:tblGrid>
      <w:tr w:rsidR="00E82CEE" w:rsidRPr="00E82CEE" w:rsidTr="008D1ECB">
        <w:trPr>
          <w:trHeight w:val="837"/>
        </w:trPr>
        <w:tc>
          <w:tcPr>
            <w:tcW w:w="0" w:type="auto"/>
            <w:vMerge w:val="restart"/>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Times New Roman" w:eastAsia="Times New Roman" w:hAnsi="Times New Roman" w:cs="Times New Roman"/>
                <w:color w:val="000000"/>
                <w:sz w:val="24"/>
                <w:szCs w:val="24"/>
                <w:lang w:eastAsia="da-DK"/>
              </w:rPr>
              <w:t> </w:t>
            </w:r>
          </w:p>
          <w:p w:rsidR="00E82CEE" w:rsidRPr="00E82CEE" w:rsidRDefault="00E82CEE" w:rsidP="00E82CEE">
            <w:pPr>
              <w:spacing w:after="240" w:line="240" w:lineRule="auto"/>
              <w:rPr>
                <w:rFonts w:ascii="Times New Roman" w:eastAsia="Times New Roman" w:hAnsi="Times New Roman" w:cs="Times New Roman"/>
                <w:sz w:val="24"/>
                <w:szCs w:val="24"/>
                <w:lang w:eastAsia="da-DK"/>
              </w:rPr>
            </w:pPr>
            <w:r w:rsidRPr="00E82CEE">
              <w:rPr>
                <w:rFonts w:ascii="Times New Roman" w:eastAsia="Times New Roman" w:hAnsi="Times New Roman" w:cs="Times New Roman"/>
                <w:color w:val="000000"/>
                <w:sz w:val="24"/>
                <w:szCs w:val="24"/>
                <w:lang w:eastAsia="da-DK"/>
              </w:rPr>
              <w:br/>
            </w:r>
            <w:r w:rsidRPr="00E82CEE">
              <w:rPr>
                <w:rFonts w:ascii="Times New Roman" w:eastAsia="Times New Roman" w:hAnsi="Times New Roman" w:cs="Times New Roman"/>
                <w:color w:val="000000"/>
                <w:sz w:val="24"/>
                <w:szCs w:val="24"/>
                <w:lang w:eastAsia="da-DK"/>
              </w:rPr>
              <w:br/>
            </w:r>
            <w:r w:rsidRPr="00E82CEE">
              <w:rPr>
                <w:rFonts w:ascii="Times New Roman" w:eastAsia="Times New Roman" w:hAnsi="Times New Roman" w:cs="Times New Roman"/>
                <w:color w:val="000000"/>
                <w:sz w:val="24"/>
                <w:szCs w:val="24"/>
                <w:lang w:eastAsia="da-DK"/>
              </w:rPr>
              <w:br/>
            </w:r>
            <w:r w:rsidRPr="00E82CEE">
              <w:rPr>
                <w:rFonts w:ascii="Times New Roman" w:eastAsia="Times New Roman" w:hAnsi="Times New Roman" w:cs="Times New Roman"/>
                <w:color w:val="000000"/>
                <w:sz w:val="24"/>
                <w:szCs w:val="24"/>
                <w:lang w:eastAsia="da-DK"/>
              </w:rPr>
              <w:br/>
            </w:r>
            <w:r w:rsidRPr="00E82CEE">
              <w:rPr>
                <w:rFonts w:ascii="Times New Roman" w:eastAsia="Times New Roman" w:hAnsi="Times New Roman" w:cs="Times New Roman"/>
                <w:color w:val="000000"/>
                <w:sz w:val="24"/>
                <w:szCs w:val="24"/>
                <w:lang w:eastAsia="da-DK"/>
              </w:rPr>
              <w:br/>
            </w:r>
            <w:r w:rsidRPr="00E82CEE">
              <w:rPr>
                <w:rFonts w:ascii="Times New Roman" w:eastAsia="Times New Roman" w:hAnsi="Times New Roman" w:cs="Times New Roman"/>
                <w:color w:val="000000"/>
                <w:sz w:val="24"/>
                <w:szCs w:val="24"/>
                <w:lang w:eastAsia="da-DK"/>
              </w:rPr>
              <w:br/>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Strukturelle</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Teknologiske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Teknologiske forhold som udviklingen af a-bomben, dampmaskinen eller skibsteknologi. Skibsteknologi førte fx til opdagelse af nye kontinenter</w:t>
            </w:r>
          </w:p>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r>
      <w:tr w:rsidR="00E82CEE" w:rsidRPr="00E82CEE" w:rsidTr="008D1ECB">
        <w:trPr>
          <w:trHeight w:val="542"/>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Økonomiske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Økonomiske forhold som børskrakket i 1929, der førte til arbejdsløshed og inflation</w:t>
            </w:r>
          </w:p>
        </w:tc>
      </w:tr>
      <w:tr w:rsidR="00E82CEE" w:rsidRPr="00E82CEE" w:rsidTr="008D1ECB">
        <w:trPr>
          <w:trHeight w:val="681"/>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Sociale</w:t>
            </w:r>
          </w:p>
        </w:tc>
        <w:tc>
          <w:tcPr>
            <w:tcW w:w="0" w:type="auto"/>
            <w:tcBorders>
              <w:top w:val="single" w:sz="6" w:space="0" w:color="9E9E9E"/>
              <w:left w:val="single" w:sz="6" w:space="0" w:color="9E9E9E"/>
              <w:bottom w:val="single" w:sz="6" w:space="0" w:color="999999"/>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Sociale forhold som dårlige arbejdsforhold kan føre til strejke, der kan resultere i højere løn</w:t>
            </w:r>
          </w:p>
        </w:tc>
      </w:tr>
      <w:tr w:rsidR="00E82CEE" w:rsidRPr="00E82CEE" w:rsidTr="00E82CEE">
        <w:trPr>
          <w:trHeight w:val="80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99999"/>
              <w:bottom w:val="single" w:sz="6" w:space="0" w:color="9E9E9E"/>
              <w:right w:val="single" w:sz="6" w:space="0" w:color="999999"/>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Politiske</w:t>
            </w:r>
          </w:p>
        </w:tc>
        <w:tc>
          <w:tcPr>
            <w:tcW w:w="0" w:type="auto"/>
            <w:tcBorders>
              <w:top w:val="single" w:sz="6" w:space="0" w:color="999999"/>
              <w:left w:val="single" w:sz="6" w:space="0" w:color="999999"/>
              <w:bottom w:val="single" w:sz="6" w:space="0" w:color="999999"/>
              <w:right w:val="single" w:sz="6" w:space="0" w:color="999999"/>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Politiske motiver, magtforhold og alliancer kan få indflydelse på verdens begivenheder. USA’s magtalliance med De Allierede i 2. Verdenskrig førte fx til Tysklands nederlag.</w:t>
            </w:r>
          </w:p>
        </w:tc>
      </w:tr>
      <w:tr w:rsidR="00E82CEE" w:rsidRPr="00E82CEE" w:rsidTr="00E82CEE">
        <w:trPr>
          <w:trHeight w:val="880"/>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Ideologiske</w:t>
            </w:r>
          </w:p>
        </w:tc>
        <w:tc>
          <w:tcPr>
            <w:tcW w:w="0" w:type="auto"/>
            <w:tcBorders>
              <w:top w:val="single" w:sz="6" w:space="0" w:color="999999"/>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Ideer og ideologier som fx nazismen, liberalismen og socialismen har haft indflydelse på indretningen af samfund, udformningen af politik og menneskeopfattelse. Herunder er også hvordan folk på en bestemt tid tænkte.</w:t>
            </w:r>
          </w:p>
        </w:tc>
      </w:tr>
      <w:tr w:rsidR="00E82CEE" w:rsidRPr="00E82CEE" w:rsidTr="008D1ECB">
        <w:trPr>
          <w:trHeight w:val="547"/>
        </w:trPr>
        <w:tc>
          <w:tcPr>
            <w:tcW w:w="0" w:type="auto"/>
            <w:vMerge/>
            <w:tcBorders>
              <w:top w:val="single" w:sz="6" w:space="0" w:color="9E9E9E"/>
              <w:left w:val="single" w:sz="6" w:space="0" w:color="9E9E9E"/>
              <w:bottom w:val="single" w:sz="6" w:space="0" w:color="9E9E9E"/>
              <w:right w:val="single" w:sz="6" w:space="0" w:color="9E9E9E"/>
            </w:tcBorders>
            <w:vAlign w:val="cente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Religiøse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Religiøse forhold og overbevisninger kan fx forklare den religiøst motiverede terrorisme i dag</w:t>
            </w:r>
          </w:p>
        </w:tc>
      </w:tr>
      <w:tr w:rsidR="00E82CEE" w:rsidRPr="00E82CEE" w:rsidTr="008D1ECB">
        <w:trPr>
          <w:trHeight w:val="546"/>
        </w:trPr>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Aktør</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24"/>
                <w:szCs w:val="24"/>
                <w:lang w:eastAsia="da-DK"/>
              </w:rPr>
              <w:t>Individuelle</w:t>
            </w:r>
          </w:p>
        </w:tc>
        <w:tc>
          <w:tcPr>
            <w:tcW w:w="0" w:type="auto"/>
            <w:tcBorders>
              <w:top w:val="single" w:sz="6" w:space="0" w:color="9E9E9E"/>
              <w:left w:val="single" w:sz="6" w:space="0" w:color="9E9E9E"/>
              <w:bottom w:val="single" w:sz="6" w:space="0" w:color="9E9E9E"/>
              <w:right w:val="single" w:sz="6" w:space="0" w:color="9E9E9E"/>
            </w:tcBorders>
            <w:tcMar>
              <w:top w:w="150" w:type="dxa"/>
              <w:left w:w="150" w:type="dxa"/>
              <w:bottom w:w="150" w:type="dxa"/>
              <w:right w:w="150" w:type="dxa"/>
            </w:tcMar>
            <w:hideMark/>
          </w:tcPr>
          <w:p w:rsidR="00E82CEE" w:rsidRPr="00E82CEE" w:rsidRDefault="00E82CEE" w:rsidP="00E82CEE">
            <w:pPr>
              <w:spacing w:after="0" w:line="240" w:lineRule="auto"/>
              <w:rPr>
                <w:rFonts w:ascii="Times New Roman" w:eastAsia="Times New Roman" w:hAnsi="Times New Roman" w:cs="Times New Roman"/>
                <w:sz w:val="24"/>
                <w:szCs w:val="24"/>
                <w:lang w:eastAsia="da-DK"/>
              </w:rPr>
            </w:pPr>
            <w:r w:rsidRPr="00E82CEE">
              <w:rPr>
                <w:rFonts w:ascii="Arial" w:eastAsia="Times New Roman" w:hAnsi="Arial" w:cs="Arial"/>
                <w:color w:val="000000"/>
                <w:sz w:val="18"/>
                <w:szCs w:val="18"/>
                <w:lang w:eastAsia="da-DK"/>
              </w:rPr>
              <w:t>Magtfulde individer som Hitler, Stalin, Napoleon og Nelson Mandela har alle haft indflydelse på verdenshistoriske begivenheder</w:t>
            </w:r>
          </w:p>
        </w:tc>
      </w:tr>
    </w:tbl>
    <w:p w:rsidR="00E82CEE" w:rsidRPr="00E82CEE" w:rsidRDefault="00E82CEE" w:rsidP="00E82CEE">
      <w:pPr>
        <w:spacing w:after="0" w:line="240" w:lineRule="auto"/>
        <w:rPr>
          <w:rFonts w:ascii="Times New Roman" w:eastAsia="Times New Roman" w:hAnsi="Times New Roman" w:cs="Times New Roman"/>
          <w:sz w:val="24"/>
          <w:szCs w:val="24"/>
          <w:lang w:eastAsia="da-DK"/>
        </w:rPr>
      </w:pPr>
    </w:p>
    <w:p w:rsidR="00E82CEE" w:rsidRPr="00E82CEE" w:rsidRDefault="00E82CEE" w:rsidP="00E82CEE">
      <w:pPr>
        <w:spacing w:line="240" w:lineRule="auto"/>
        <w:rPr>
          <w:rFonts w:ascii="Times New Roman" w:eastAsia="Times New Roman" w:hAnsi="Times New Roman" w:cs="Times New Roman"/>
          <w:sz w:val="28"/>
          <w:szCs w:val="28"/>
          <w:lang w:eastAsia="da-DK"/>
        </w:rPr>
      </w:pPr>
      <w:r w:rsidRPr="00E82CEE">
        <w:rPr>
          <w:rFonts w:ascii="Calibri" w:eastAsia="Times New Roman" w:hAnsi="Calibri" w:cs="Times New Roman"/>
          <w:b/>
          <w:bCs/>
          <w:color w:val="000000"/>
          <w:sz w:val="28"/>
          <w:szCs w:val="28"/>
          <w:lang w:eastAsia="da-DK"/>
        </w:rPr>
        <w:t>Hvilken konkret analysemetode benytter vi så for at finde disse årsager?</w:t>
      </w:r>
    </w:p>
    <w:p w:rsidR="00E82CEE" w:rsidRPr="00E82CEE" w:rsidRDefault="00E82CEE" w:rsidP="00E82CEE">
      <w:pPr>
        <w:spacing w:line="240" w:lineRule="auto"/>
        <w:rPr>
          <w:rFonts w:ascii="Times New Roman" w:eastAsia="Times New Roman" w:hAnsi="Times New Roman" w:cs="Times New Roman"/>
          <w:sz w:val="24"/>
          <w:szCs w:val="24"/>
          <w:lang w:eastAsia="da-DK"/>
        </w:rPr>
      </w:pPr>
      <w:r w:rsidRPr="00E82CEE">
        <w:rPr>
          <w:rFonts w:ascii="Calibri" w:eastAsia="Times New Roman" w:hAnsi="Calibri" w:cs="Times New Roman"/>
          <w:color w:val="000000"/>
          <w:lang w:eastAsia="da-DK"/>
        </w:rPr>
        <w:t>Det er vigtigt at forstå at når vi laver årsagsanalyse så er det vores mål, at forklare årsagerne, det styrer således det specifikke valg af understøttende metode. Disse metoder er enten historie specifikke eller delvis lånt fra andre fag, herunder (men ikke udtømmende):</w:t>
      </w:r>
    </w:p>
    <w:p w:rsidR="00E82CEE" w:rsidRPr="00E82CEE" w:rsidRDefault="00E82CEE" w:rsidP="00E82CEE">
      <w:pPr>
        <w:numPr>
          <w:ilvl w:val="0"/>
          <w:numId w:val="5"/>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Kildekritik</w:t>
      </w:r>
    </w:p>
    <w:p w:rsidR="00E82CEE" w:rsidRPr="00E82CEE" w:rsidRDefault="00E82CEE" w:rsidP="00E82CEE">
      <w:pPr>
        <w:numPr>
          <w:ilvl w:val="1"/>
          <w:numId w:val="6"/>
        </w:numPr>
        <w:spacing w:after="0" w:line="240" w:lineRule="auto"/>
        <w:ind w:left="1440" w:hanging="360"/>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 xml:space="preserve">Denne metode er hyppigt anvendt - men det er bare vigtigt at huske at når man laver en årsagsanalyse så er det målet, og dvs. det styrer de spørgsmål som man stiller til kilden. </w:t>
      </w:r>
    </w:p>
    <w:p w:rsidR="00E82CEE" w:rsidRPr="00E82CEE" w:rsidRDefault="00E82CEE" w:rsidP="00E82CEE">
      <w:pPr>
        <w:numPr>
          <w:ilvl w:val="0"/>
          <w:numId w:val="6"/>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Diskursanalyse (som også kan ses som en del af kildekritikken)</w:t>
      </w:r>
    </w:p>
    <w:p w:rsidR="00E82CEE" w:rsidRPr="00E82CEE" w:rsidRDefault="00E82CEE" w:rsidP="00E82CEE">
      <w:pPr>
        <w:numPr>
          <w:ilvl w:val="0"/>
          <w:numId w:val="6"/>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Historiebrug</w:t>
      </w:r>
    </w:p>
    <w:p w:rsidR="00E82CEE" w:rsidRPr="00E82CEE" w:rsidRDefault="00E82CEE" w:rsidP="00E82CEE">
      <w:pPr>
        <w:numPr>
          <w:ilvl w:val="0"/>
          <w:numId w:val="6"/>
        </w:numPr>
        <w:spacing w:after="0" w:line="240" w:lineRule="auto"/>
        <w:textAlignment w:val="baseline"/>
        <w:rPr>
          <w:rFonts w:ascii="Calibri" w:eastAsia="Times New Roman" w:hAnsi="Calibri" w:cs="Times New Roman"/>
          <w:color w:val="000000"/>
          <w:lang w:eastAsia="da-DK"/>
        </w:rPr>
      </w:pPr>
      <w:r w:rsidRPr="00E82CEE">
        <w:rPr>
          <w:rFonts w:ascii="Calibri" w:eastAsia="Times New Roman" w:hAnsi="Calibri" w:cs="Times New Roman"/>
          <w:color w:val="000000"/>
          <w:lang w:eastAsia="da-DK"/>
        </w:rPr>
        <w:t>Kvantitative studier (fra samfundsfag)</w:t>
      </w:r>
    </w:p>
    <w:p w:rsidR="0085075D" w:rsidRDefault="00E82CEE" w:rsidP="008D1ECB">
      <w:pPr>
        <w:spacing w:line="240" w:lineRule="auto"/>
        <w:ind w:firstLine="360"/>
        <w:textAlignment w:val="baseline"/>
      </w:pPr>
      <w:r w:rsidRPr="00E82CEE">
        <w:rPr>
          <w:rFonts w:ascii="Calibri" w:eastAsia="Times New Roman" w:hAnsi="Calibri" w:cs="Times New Roman"/>
          <w:color w:val="000000"/>
          <w:lang w:eastAsia="da-DK"/>
        </w:rPr>
        <w:t xml:space="preserve">Ofte ved årsagsanalyser - særligt de økonomiske eller teknologiske - så vil man hyppigt skulle se på </w:t>
      </w:r>
      <w:r w:rsidR="008D1ECB">
        <w:rPr>
          <w:rFonts w:ascii="Calibri" w:eastAsia="Times New Roman" w:hAnsi="Calibri" w:cs="Times New Roman"/>
          <w:color w:val="000000"/>
          <w:lang w:eastAsia="da-DK"/>
        </w:rPr>
        <w:br/>
        <w:t xml:space="preserve">       </w:t>
      </w:r>
      <w:r w:rsidRPr="00E82CEE">
        <w:rPr>
          <w:rFonts w:ascii="Calibri" w:eastAsia="Times New Roman" w:hAnsi="Calibri" w:cs="Times New Roman"/>
          <w:color w:val="000000"/>
          <w:lang w:eastAsia="da-DK"/>
        </w:rPr>
        <w:t>talmateriale for at se om der er en brugbar årsagsforklaring eller ej.</w:t>
      </w:r>
    </w:p>
    <w:sectPr w:rsidR="008507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1BE5"/>
    <w:multiLevelType w:val="multilevel"/>
    <w:tmpl w:val="C2909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53C"/>
    <w:multiLevelType w:val="multilevel"/>
    <w:tmpl w:val="5D9A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84908"/>
    <w:multiLevelType w:val="multilevel"/>
    <w:tmpl w:val="0978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F4ED8"/>
    <w:multiLevelType w:val="multilevel"/>
    <w:tmpl w:val="D9A4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6F2E43"/>
    <w:multiLevelType w:val="multilevel"/>
    <w:tmpl w:val="0F7C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EE"/>
    <w:rsid w:val="00175339"/>
    <w:rsid w:val="0085075D"/>
    <w:rsid w:val="008D1ECB"/>
    <w:rsid w:val="00E82CEE"/>
    <w:rsid w:val="00FC31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BFDF"/>
  <w15:chartTrackingRefBased/>
  <w15:docId w15:val="{0CFE112F-5EC5-4434-8A95-1826AF01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82C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82CE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E82CE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12908">
      <w:bodyDiv w:val="1"/>
      <w:marLeft w:val="0"/>
      <w:marRight w:val="0"/>
      <w:marTop w:val="0"/>
      <w:marBottom w:val="0"/>
      <w:divBdr>
        <w:top w:val="none" w:sz="0" w:space="0" w:color="auto"/>
        <w:left w:val="none" w:sz="0" w:space="0" w:color="auto"/>
        <w:bottom w:val="none" w:sz="0" w:space="0" w:color="auto"/>
        <w:right w:val="none" w:sz="0" w:space="0" w:color="auto"/>
      </w:divBdr>
      <w:divsChild>
        <w:div w:id="154016438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2F969-BADD-4985-9E8D-238327C1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1118</Words>
  <Characters>6822</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Hymøller</dc:creator>
  <cp:keywords/>
  <dc:description/>
  <cp:lastModifiedBy>Søren Hymøller</cp:lastModifiedBy>
  <cp:revision>4</cp:revision>
  <dcterms:created xsi:type="dcterms:W3CDTF">2019-06-07T09:55:00Z</dcterms:created>
  <dcterms:modified xsi:type="dcterms:W3CDTF">2019-06-07T10:17:00Z</dcterms:modified>
</cp:coreProperties>
</file>