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A01F" w14:textId="2280968C" w:rsidR="00115ADC" w:rsidRPr="00C62CB8" w:rsidRDefault="00C62CB8" w:rsidP="00EE615A">
      <w:pPr>
        <w:jc w:val="center"/>
        <w:rPr>
          <w:b/>
          <w:sz w:val="44"/>
          <w:szCs w:val="24"/>
        </w:rPr>
      </w:pPr>
      <w:r>
        <w:rPr>
          <w:b/>
          <w:sz w:val="44"/>
          <w:szCs w:val="24"/>
        </w:rPr>
        <w:t>Arbejdsark til renæss</w:t>
      </w:r>
      <w:r w:rsidR="00752D0B" w:rsidRPr="00C62CB8">
        <w:rPr>
          <w:b/>
          <w:sz w:val="44"/>
          <w:szCs w:val="24"/>
        </w:rPr>
        <w:t>ance</w:t>
      </w:r>
      <w:r w:rsidR="00057AD9">
        <w:rPr>
          <w:b/>
          <w:sz w:val="44"/>
          <w:szCs w:val="24"/>
        </w:rPr>
        <w:t xml:space="preserve"> og centralperspektiv</w:t>
      </w:r>
    </w:p>
    <w:p w14:paraId="56AC8519" w14:textId="77777777" w:rsidR="00752D0B" w:rsidRPr="00535DBF" w:rsidRDefault="00752D0B">
      <w:pPr>
        <w:rPr>
          <w:sz w:val="24"/>
          <w:szCs w:val="24"/>
        </w:rPr>
      </w:pPr>
    </w:p>
    <w:p w14:paraId="337B06FF" w14:textId="77777777" w:rsidR="00C1562E" w:rsidRPr="00535DBF" w:rsidRDefault="00752D0B" w:rsidP="00C1562E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535DBF">
        <w:rPr>
          <w:sz w:val="24"/>
          <w:szCs w:val="24"/>
        </w:rPr>
        <w:t xml:space="preserve">I hvilket land </w:t>
      </w:r>
      <w:r w:rsidR="00C1562E" w:rsidRPr="00535DBF">
        <w:rPr>
          <w:sz w:val="24"/>
          <w:szCs w:val="24"/>
        </w:rPr>
        <w:t xml:space="preserve">udspringer </w:t>
      </w:r>
      <w:r w:rsidRPr="00535DBF">
        <w:rPr>
          <w:sz w:val="24"/>
          <w:szCs w:val="24"/>
        </w:rPr>
        <w:t>den periode</w:t>
      </w:r>
      <w:r w:rsidR="00C1562E" w:rsidRPr="00535DBF">
        <w:rPr>
          <w:sz w:val="24"/>
          <w:szCs w:val="24"/>
        </w:rPr>
        <w:t>,</w:t>
      </w:r>
      <w:r w:rsidRPr="00535DBF">
        <w:rPr>
          <w:sz w:val="24"/>
          <w:szCs w:val="24"/>
        </w:rPr>
        <w:t xml:space="preserve"> vi betegner som renæ</w:t>
      </w:r>
      <w:r w:rsidR="00C1562E" w:rsidRPr="00535DBF">
        <w:rPr>
          <w:sz w:val="24"/>
          <w:szCs w:val="24"/>
        </w:rPr>
        <w:t xml:space="preserve">ssancen, og hvornår finder den </w:t>
      </w:r>
      <w:r w:rsidRPr="00535DBF">
        <w:rPr>
          <w:sz w:val="24"/>
          <w:szCs w:val="24"/>
        </w:rPr>
        <w:t>sted?</w:t>
      </w:r>
    </w:p>
    <w:p w14:paraId="45D5F0BF" w14:textId="77777777" w:rsidR="00535DBF" w:rsidRPr="00535DBF" w:rsidRDefault="00535DBF" w:rsidP="00752D0B">
      <w:pPr>
        <w:pStyle w:val="Listeafsnit"/>
        <w:rPr>
          <w:sz w:val="24"/>
          <w:szCs w:val="24"/>
        </w:rPr>
      </w:pPr>
    </w:p>
    <w:p w14:paraId="5B29EEE2" w14:textId="776211C4" w:rsidR="00057AD9" w:rsidRDefault="00752D0B" w:rsidP="00057AD9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535DBF">
        <w:rPr>
          <w:sz w:val="24"/>
          <w:szCs w:val="24"/>
        </w:rPr>
        <w:t>Hvorfor kaldes perioden renæssance?</w:t>
      </w:r>
    </w:p>
    <w:p w14:paraId="4BE4C49A" w14:textId="77777777" w:rsidR="00057AD9" w:rsidRPr="00057AD9" w:rsidRDefault="00057AD9" w:rsidP="00057AD9">
      <w:pPr>
        <w:pStyle w:val="Listeafsnit"/>
        <w:rPr>
          <w:sz w:val="24"/>
          <w:szCs w:val="24"/>
        </w:rPr>
      </w:pPr>
    </w:p>
    <w:p w14:paraId="32170AF1" w14:textId="05021C57" w:rsidR="00057AD9" w:rsidRPr="00057AD9" w:rsidRDefault="00C1562E" w:rsidP="00057AD9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057AD9">
        <w:rPr>
          <w:sz w:val="24"/>
          <w:szCs w:val="24"/>
        </w:rPr>
        <w:t xml:space="preserve">Der sker i renæssancen en verdsliggørelse af kunsten i forhold til den forudgående middelalderlige periode.  Hvad betyder </w:t>
      </w:r>
      <w:r w:rsidRPr="00057AD9">
        <w:rPr>
          <w:i/>
          <w:sz w:val="24"/>
          <w:szCs w:val="24"/>
        </w:rPr>
        <w:t>verdslig</w:t>
      </w:r>
      <w:r w:rsidRPr="00057AD9">
        <w:rPr>
          <w:sz w:val="24"/>
          <w:szCs w:val="24"/>
        </w:rPr>
        <w:t xml:space="preserve"> – og hvordan kommer det til udtryk?</w:t>
      </w:r>
    </w:p>
    <w:p w14:paraId="06F74802" w14:textId="77777777" w:rsidR="00535DBF" w:rsidRPr="00535DBF" w:rsidRDefault="00535DBF" w:rsidP="00535DBF">
      <w:pPr>
        <w:pStyle w:val="Listeafsnit"/>
        <w:rPr>
          <w:sz w:val="24"/>
          <w:szCs w:val="24"/>
        </w:rPr>
      </w:pPr>
    </w:p>
    <w:p w14:paraId="57922B46" w14:textId="77777777" w:rsidR="00535DBF" w:rsidRDefault="00221F73" w:rsidP="00535DBF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535DBF">
        <w:rPr>
          <w:sz w:val="24"/>
          <w:szCs w:val="24"/>
        </w:rPr>
        <w:t xml:space="preserve">Lav en </w:t>
      </w:r>
      <w:r w:rsidR="00535DBF" w:rsidRPr="00535DBF">
        <w:rPr>
          <w:sz w:val="24"/>
          <w:szCs w:val="24"/>
        </w:rPr>
        <w:t>analyse</w:t>
      </w:r>
      <w:r w:rsidR="00AF04F8" w:rsidRPr="00535DBF">
        <w:rPr>
          <w:sz w:val="24"/>
          <w:szCs w:val="24"/>
        </w:rPr>
        <w:t xml:space="preserve"> af Michelangelos David</w:t>
      </w:r>
      <w:r w:rsidRPr="00535DBF">
        <w:rPr>
          <w:sz w:val="24"/>
          <w:szCs w:val="24"/>
        </w:rPr>
        <w:t xml:space="preserve">skulptur </w:t>
      </w:r>
      <w:r w:rsidR="00AF04F8" w:rsidRPr="00535DBF">
        <w:rPr>
          <w:sz w:val="24"/>
          <w:szCs w:val="24"/>
        </w:rPr>
        <w:t xml:space="preserve">og forklar med udgangspunkt i den tilhørende tekst, hvordan vi gennem analyse og fortolkning kan forklare, </w:t>
      </w:r>
      <w:r w:rsidR="00535DBF">
        <w:rPr>
          <w:sz w:val="24"/>
          <w:szCs w:val="24"/>
        </w:rPr>
        <w:t>at det er en renæssanceskulptur (find evt. selv flere billeder af den og oplysninger om den på nettet):</w:t>
      </w:r>
    </w:p>
    <w:p w14:paraId="1ADC01B8" w14:textId="77777777" w:rsidR="00057AD9" w:rsidRPr="00057AD9" w:rsidRDefault="00057AD9" w:rsidP="00057AD9">
      <w:pPr>
        <w:rPr>
          <w:sz w:val="24"/>
          <w:szCs w:val="24"/>
        </w:rPr>
      </w:pPr>
    </w:p>
    <w:p w14:paraId="1D92FF43" w14:textId="77777777" w:rsidR="00535DBF" w:rsidRPr="00535DBF" w:rsidRDefault="00535DBF" w:rsidP="00535DBF">
      <w:pPr>
        <w:jc w:val="center"/>
        <w:rPr>
          <w:sz w:val="24"/>
          <w:szCs w:val="24"/>
        </w:rPr>
      </w:pPr>
      <w:r w:rsidRPr="00535DBF">
        <w:rPr>
          <w:noProof/>
          <w:sz w:val="24"/>
          <w:szCs w:val="24"/>
        </w:rPr>
        <w:drawing>
          <wp:inline distT="0" distB="0" distL="0" distR="0" wp14:anchorId="3CAB93DD" wp14:editId="50CA632F">
            <wp:extent cx="3210339" cy="4718280"/>
            <wp:effectExtent l="0" t="0" r="3175" b="0"/>
            <wp:docPr id="51203" name="Picture 6" descr="http://static.howstuffworks.com/gif/michelangelo-sculptures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3" name="Picture 6" descr="http://static.howstuffworks.com/gif/michelangelo-sculptures-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52" cy="476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68B47" w14:textId="49180553" w:rsidR="00535DBF" w:rsidRPr="00057AD9" w:rsidRDefault="00535DBF" w:rsidP="00057AD9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a-DK"/>
        </w:rPr>
      </w:pPr>
      <w:r w:rsidRPr="00057AD9">
        <w:rPr>
          <w:rFonts w:eastAsia="Times New Roman" w:cs="Times New Roman"/>
          <w:sz w:val="24"/>
          <w:szCs w:val="24"/>
          <w:lang w:eastAsia="da-DK"/>
        </w:rPr>
        <w:lastRenderedPageBreak/>
        <w:t xml:space="preserve">Rafael indtager næst efter Leonardo da Vinci og Michelangelo sin plads i renæssancekunstens uformelle treenighed med en lange række mesterværker, f.eks. </w:t>
      </w:r>
      <w:r w:rsidRPr="00057AD9">
        <w:rPr>
          <w:rFonts w:eastAsia="Times New Roman" w:cs="Times New Roman"/>
          <w:i/>
          <w:iCs/>
          <w:sz w:val="24"/>
          <w:szCs w:val="24"/>
          <w:lang w:eastAsia="da-DK"/>
        </w:rPr>
        <w:t>Disput om sakramentet</w:t>
      </w:r>
      <w:r w:rsidRPr="00057AD9">
        <w:rPr>
          <w:rFonts w:eastAsia="Times New Roman" w:cs="Times New Roman"/>
          <w:sz w:val="24"/>
          <w:szCs w:val="24"/>
          <w:lang w:eastAsia="da-DK"/>
        </w:rPr>
        <w:t xml:space="preserve"> og </w:t>
      </w:r>
      <w:r w:rsidRPr="00057AD9">
        <w:rPr>
          <w:rFonts w:eastAsia="Times New Roman" w:cs="Times New Roman"/>
          <w:i/>
          <w:iCs/>
          <w:sz w:val="24"/>
          <w:szCs w:val="24"/>
          <w:lang w:eastAsia="da-DK"/>
        </w:rPr>
        <w:t>Skolen i Athen</w:t>
      </w:r>
      <w:r w:rsidRPr="00057AD9">
        <w:rPr>
          <w:rFonts w:eastAsia="Times New Roman" w:cs="Times New Roman"/>
          <w:sz w:val="24"/>
          <w:szCs w:val="24"/>
          <w:lang w:eastAsia="da-DK"/>
        </w:rPr>
        <w:t xml:space="preserve">, som han udførte for pave Julius II. Blandt de øvrige indtager </w:t>
      </w:r>
      <w:r w:rsidRPr="00057AD9">
        <w:rPr>
          <w:rFonts w:eastAsia="Times New Roman" w:cs="Times New Roman"/>
          <w:i/>
          <w:iCs/>
          <w:sz w:val="24"/>
          <w:szCs w:val="24"/>
          <w:lang w:eastAsia="da-DK"/>
        </w:rPr>
        <w:t>Jomfru Marias trolovelse</w:t>
      </w:r>
      <w:r w:rsidRPr="00057AD9">
        <w:rPr>
          <w:rFonts w:eastAsia="Times New Roman" w:cs="Times New Roman"/>
          <w:sz w:val="24"/>
          <w:szCs w:val="24"/>
          <w:lang w:eastAsia="da-DK"/>
        </w:rPr>
        <w:t xml:space="preserve"> ligeledes en fremtrædende plads</w:t>
      </w:r>
      <w:r w:rsidR="00057AD9">
        <w:rPr>
          <w:rFonts w:eastAsia="Times New Roman" w:cs="Times New Roman"/>
          <w:sz w:val="24"/>
          <w:szCs w:val="24"/>
          <w:lang w:eastAsia="da-DK"/>
        </w:rPr>
        <w:t xml:space="preserve"> (se næste side)</w:t>
      </w:r>
      <w:r w:rsidRPr="00057AD9">
        <w:rPr>
          <w:rFonts w:eastAsia="Times New Roman" w:cs="Times New Roman"/>
          <w:sz w:val="24"/>
          <w:szCs w:val="24"/>
          <w:lang w:eastAsia="da-DK"/>
        </w:rPr>
        <w:t xml:space="preserve">. </w:t>
      </w:r>
      <w:r w:rsidRPr="00057AD9">
        <w:rPr>
          <w:rFonts w:eastAsia="Times New Roman" w:cs="Times New Roman"/>
          <w:sz w:val="24"/>
          <w:szCs w:val="24"/>
          <w:lang w:eastAsia="da-DK"/>
        </w:rPr>
        <w:br/>
      </w:r>
      <w:r w:rsidRPr="00057AD9">
        <w:rPr>
          <w:rFonts w:eastAsia="Times New Roman" w:cs="Times New Roman"/>
          <w:sz w:val="24"/>
          <w:szCs w:val="24"/>
          <w:lang w:eastAsia="da-DK"/>
        </w:rPr>
        <w:br/>
        <w:t xml:space="preserve">I forgrunden ser vi Maria og Josef på hver sin side af ypperstepræsten, og bag Josef står en række vragede bejlere. Josef bærer en stav, der i modsætning til de øvrige bejleres </w:t>
      </w:r>
      <w:r w:rsidRPr="00057AD9">
        <w:rPr>
          <w:rFonts w:eastAsia="Times New Roman" w:cs="Times New Roman"/>
          <w:i/>
          <w:iCs/>
          <w:sz w:val="24"/>
          <w:szCs w:val="24"/>
          <w:lang w:eastAsia="da-DK"/>
        </w:rPr>
        <w:t>blomstrer</w:t>
      </w:r>
      <w:r w:rsidRPr="00057AD9">
        <w:rPr>
          <w:rFonts w:eastAsia="Times New Roman" w:cs="Times New Roman"/>
          <w:sz w:val="24"/>
          <w:szCs w:val="24"/>
          <w:lang w:eastAsia="da-DK"/>
        </w:rPr>
        <w:t xml:space="preserve"> og røber, at han er udvalgt til at blive viet med Maria, den kommende Gudsmoder. En af rivalerne knækker sågar sin stav i ærgrelse. </w:t>
      </w:r>
      <w:r w:rsidRPr="00057AD9">
        <w:rPr>
          <w:rFonts w:eastAsia="Times New Roman" w:cs="Times New Roman"/>
          <w:sz w:val="24"/>
          <w:szCs w:val="24"/>
          <w:lang w:eastAsia="da-DK"/>
        </w:rPr>
        <w:br/>
      </w:r>
      <w:r w:rsidRPr="00057AD9">
        <w:rPr>
          <w:rFonts w:eastAsia="Times New Roman" w:cs="Times New Roman"/>
          <w:sz w:val="24"/>
          <w:szCs w:val="24"/>
          <w:lang w:eastAsia="da-DK"/>
        </w:rPr>
        <w:br/>
        <w:t xml:space="preserve">At der er tale om et </w:t>
      </w:r>
      <w:r w:rsidR="00057AD9" w:rsidRPr="00057AD9">
        <w:rPr>
          <w:rFonts w:eastAsia="Times New Roman" w:cs="Times New Roman"/>
          <w:sz w:val="24"/>
          <w:szCs w:val="24"/>
          <w:lang w:eastAsia="da-DK"/>
        </w:rPr>
        <w:t xml:space="preserve">guddommeligt </w:t>
      </w:r>
      <w:r w:rsidRPr="00057AD9">
        <w:rPr>
          <w:rFonts w:eastAsia="Times New Roman" w:cs="Times New Roman"/>
          <w:sz w:val="24"/>
          <w:szCs w:val="24"/>
          <w:lang w:eastAsia="da-DK"/>
        </w:rPr>
        <w:t xml:space="preserve">bryllup understreges ikke blot af det centralt placerede tempel og perspektivet, der drager blikket fra forgrunden mod tempelåbningen og himlen, der skimtes bag den. Rafael har </w:t>
      </w:r>
      <w:r w:rsidR="00057AD9" w:rsidRPr="00057AD9">
        <w:rPr>
          <w:rFonts w:eastAsia="Times New Roman" w:cs="Times New Roman"/>
          <w:sz w:val="24"/>
          <w:szCs w:val="24"/>
          <w:lang w:eastAsia="da-DK"/>
        </w:rPr>
        <w:t>desuden</w:t>
      </w:r>
      <w:r w:rsidRPr="00057AD9">
        <w:rPr>
          <w:rFonts w:eastAsia="Times New Roman" w:cs="Times New Roman"/>
          <w:sz w:val="24"/>
          <w:szCs w:val="24"/>
          <w:lang w:eastAsia="da-DK"/>
        </w:rPr>
        <w:t xml:space="preserve"> udstyret kompositionen med en enkel, men klar symmetrisk symbolik. To cirkler og et kvadrat, der omkranser motivets øvre og nedre del, </w:t>
      </w:r>
      <w:r w:rsidR="00057AD9" w:rsidRPr="00535DBF">
        <w:rPr>
          <w:noProof/>
          <w:sz w:val="24"/>
          <w:szCs w:val="24"/>
          <w:lang w:eastAsia="da-DK"/>
        </w:rPr>
        <w:drawing>
          <wp:anchor distT="0" distB="0" distL="0" distR="0" simplePos="0" relativeHeight="251658240" behindDoc="0" locked="0" layoutInCell="1" allowOverlap="0" wp14:anchorId="49FA32FA" wp14:editId="4FBB42D6">
            <wp:simplePos x="0" y="0"/>
            <wp:positionH relativeFrom="column">
              <wp:posOffset>4526280</wp:posOffset>
            </wp:positionH>
            <wp:positionV relativeFrom="line">
              <wp:posOffset>180975</wp:posOffset>
            </wp:positionV>
            <wp:extent cx="1590675" cy="2286000"/>
            <wp:effectExtent l="0" t="0" r="0" b="0"/>
            <wp:wrapSquare wrapText="bothSides"/>
            <wp:docPr id="2" name="Billede 3" descr="Kompos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mposi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7AD9">
        <w:rPr>
          <w:rFonts w:eastAsia="Times New Roman" w:cs="Times New Roman"/>
          <w:sz w:val="24"/>
          <w:szCs w:val="24"/>
          <w:lang w:eastAsia="da-DK"/>
        </w:rPr>
        <w:t>skaber det helt iøjnefaldende knudepunkt netop i ringen, som Josef rækker Maria.</w:t>
      </w:r>
    </w:p>
    <w:p w14:paraId="64EA144F" w14:textId="2EB2176D" w:rsidR="00535DBF" w:rsidRDefault="00535DBF" w:rsidP="00535DBF">
      <w:pPr>
        <w:pStyle w:val="Listeafsnit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a-DK"/>
        </w:rPr>
      </w:pPr>
    </w:p>
    <w:p w14:paraId="0C610F7F" w14:textId="029C2999" w:rsidR="00057AD9" w:rsidRDefault="00535DBF" w:rsidP="00535DBF">
      <w:pPr>
        <w:pStyle w:val="Listeafsnit"/>
        <w:spacing w:before="100" w:beforeAutospacing="1" w:after="100" w:afterAutospacing="1" w:line="240" w:lineRule="auto"/>
        <w:rPr>
          <w:rFonts w:eastAsia="Times New Roman" w:cs="Times New Roman"/>
          <w:i/>
          <w:iCs/>
          <w:sz w:val="24"/>
          <w:szCs w:val="24"/>
          <w:lang w:eastAsia="da-DK"/>
        </w:rPr>
      </w:pPr>
      <w:r w:rsidRPr="00535DBF">
        <w:rPr>
          <w:rFonts w:eastAsia="Times New Roman" w:cs="Times New Roman"/>
          <w:sz w:val="24"/>
          <w:szCs w:val="24"/>
          <w:lang w:eastAsia="da-DK"/>
        </w:rPr>
        <w:t xml:space="preserve">Den danske kunsthistoriker, Mogens Nykjær skriver om motivets komposition: </w:t>
      </w:r>
      <w:r w:rsidRPr="00535DBF">
        <w:rPr>
          <w:rFonts w:eastAsia="Times New Roman" w:cs="Times New Roman"/>
          <w:sz w:val="24"/>
          <w:szCs w:val="24"/>
          <w:lang w:eastAsia="da-DK"/>
        </w:rPr>
        <w:br/>
      </w:r>
      <w:r w:rsidRPr="00535DBF">
        <w:rPr>
          <w:rFonts w:eastAsia="Times New Roman" w:cs="Times New Roman"/>
          <w:sz w:val="24"/>
          <w:szCs w:val="24"/>
          <w:lang w:eastAsia="da-DK"/>
        </w:rPr>
        <w:br/>
      </w:r>
      <w:r w:rsidRPr="00057AD9">
        <w:rPr>
          <w:rFonts w:eastAsia="Times New Roman" w:cs="Times New Roman"/>
          <w:i/>
          <w:iCs/>
          <w:sz w:val="24"/>
          <w:szCs w:val="24"/>
          <w:lang w:eastAsia="da-DK"/>
        </w:rPr>
        <w:t xml:space="preserve">»På konstruktionstegningen [t.h.] ses det, at den store cirkel har centrum i trekantgavlen over templets dør (Treenigheden). Ypperstepræsten løfter Marias og Josefs hænder ind i denne cirkels guddommelige sfære. En tilsvarende cirkel kan indskrives i kvadratet. De store cirkler spejles i den lille ring, der besegler trolovelsen. Således forenes jordisk og himmelsk...« </w:t>
      </w:r>
    </w:p>
    <w:p w14:paraId="0319FBBC" w14:textId="2C945879" w:rsidR="00535DBF" w:rsidRPr="00535DBF" w:rsidRDefault="00535DBF" w:rsidP="00535DBF">
      <w:pPr>
        <w:pStyle w:val="Listeafsnit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a-DK"/>
        </w:rPr>
      </w:pPr>
      <w:r w:rsidRPr="00535DBF">
        <w:rPr>
          <w:rFonts w:eastAsia="Times New Roman" w:cs="Times New Roman"/>
          <w:sz w:val="24"/>
          <w:szCs w:val="24"/>
          <w:lang w:eastAsia="da-DK"/>
        </w:rPr>
        <w:t xml:space="preserve">(Nykjær: </w:t>
      </w:r>
      <w:r w:rsidRPr="00535DBF">
        <w:rPr>
          <w:rFonts w:eastAsia="Times New Roman" w:cs="Times New Roman"/>
          <w:i/>
          <w:iCs/>
          <w:sz w:val="24"/>
          <w:szCs w:val="24"/>
          <w:lang w:eastAsia="da-DK"/>
        </w:rPr>
        <w:t>Peterskirken, historie og betydning</w:t>
      </w:r>
      <w:r w:rsidRPr="00535DBF">
        <w:rPr>
          <w:rFonts w:eastAsia="Times New Roman" w:cs="Times New Roman"/>
          <w:sz w:val="24"/>
          <w:szCs w:val="24"/>
          <w:lang w:eastAsia="da-DK"/>
        </w:rPr>
        <w:t>, Kbh. 1999)</w:t>
      </w:r>
      <w:r w:rsidRPr="00535DBF">
        <w:rPr>
          <w:rFonts w:eastAsia="Times New Roman" w:cs="Times New Roman"/>
          <w:sz w:val="24"/>
          <w:szCs w:val="24"/>
          <w:lang w:eastAsia="da-DK"/>
        </w:rPr>
        <w:br/>
      </w:r>
      <w:r w:rsidRPr="00535DBF">
        <w:rPr>
          <w:rFonts w:eastAsia="Times New Roman" w:cs="Times New Roman"/>
          <w:sz w:val="24"/>
          <w:szCs w:val="24"/>
          <w:lang w:eastAsia="da-DK"/>
        </w:rPr>
        <w:br/>
        <w:t>Værket er desuden en suveræn studie i centralperspektivet, der udvikles til perfektion i renæssancen, og som Rafael behersker til fulde. Her benyttes det som nævnt til at trække beskuerens opmærksomhed dybt ind i motivet med forsvindingspunktet, der er placeret præcis i døråbninge</w:t>
      </w:r>
      <w:r w:rsidR="004B6433">
        <w:rPr>
          <w:rFonts w:eastAsia="Times New Roman" w:cs="Times New Roman"/>
          <w:sz w:val="24"/>
          <w:szCs w:val="24"/>
          <w:lang w:eastAsia="da-DK"/>
        </w:rPr>
        <w:t>n i templet i baggrunden. S</w:t>
      </w:r>
      <w:r w:rsidRPr="00535DBF">
        <w:rPr>
          <w:rFonts w:eastAsia="Times New Roman" w:cs="Times New Roman"/>
          <w:sz w:val="24"/>
          <w:szCs w:val="24"/>
          <w:lang w:eastAsia="da-DK"/>
        </w:rPr>
        <w:t xml:space="preserve">om det kan anes i gengivelsen i høj opløsning, figurerer hans eget navn med selvbevidst akkuratesse lige oven over døråbningen, som var det indgraveret i tempelfacaden. </w:t>
      </w:r>
    </w:p>
    <w:p w14:paraId="16DB1764" w14:textId="77777777" w:rsidR="00535DBF" w:rsidRPr="00535DBF" w:rsidRDefault="00535DBF" w:rsidP="004B6433">
      <w:pPr>
        <w:pStyle w:val="Listeafsnit"/>
        <w:rPr>
          <w:sz w:val="24"/>
          <w:szCs w:val="24"/>
        </w:rPr>
      </w:pPr>
    </w:p>
    <w:p w14:paraId="6E1D24BB" w14:textId="45C525B1" w:rsidR="00535DBF" w:rsidRDefault="004B6433" w:rsidP="004B6433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Tegn </w:t>
      </w:r>
      <w:r w:rsidR="00EE615A">
        <w:rPr>
          <w:sz w:val="24"/>
          <w:szCs w:val="24"/>
        </w:rPr>
        <w:t>horisontlinen,</w:t>
      </w:r>
      <w:r>
        <w:rPr>
          <w:sz w:val="24"/>
          <w:szCs w:val="24"/>
        </w:rPr>
        <w:t xml:space="preserve"> forsvindingspunktet </w:t>
      </w:r>
      <w:r w:rsidR="00EE615A">
        <w:rPr>
          <w:sz w:val="24"/>
          <w:szCs w:val="24"/>
        </w:rPr>
        <w:t xml:space="preserve">og de perspektiviske linjer </w:t>
      </w:r>
      <w:r>
        <w:rPr>
          <w:sz w:val="24"/>
          <w:szCs w:val="24"/>
        </w:rPr>
        <w:t xml:space="preserve">ind på billedet </w:t>
      </w:r>
      <w:r w:rsidR="00057AD9">
        <w:rPr>
          <w:sz w:val="24"/>
          <w:szCs w:val="24"/>
        </w:rPr>
        <w:t>på næste side</w:t>
      </w:r>
      <w:r>
        <w:rPr>
          <w:sz w:val="24"/>
          <w:szCs w:val="24"/>
        </w:rPr>
        <w:t xml:space="preserve">, så du fremhæver </w:t>
      </w:r>
      <w:r w:rsidR="00C62CB8">
        <w:rPr>
          <w:sz w:val="24"/>
          <w:szCs w:val="24"/>
        </w:rPr>
        <w:t>centralperspektivet.</w:t>
      </w:r>
    </w:p>
    <w:p w14:paraId="43111447" w14:textId="77777777" w:rsidR="005B59B1" w:rsidRDefault="005B59B1" w:rsidP="004B6433">
      <w:pPr>
        <w:pStyle w:val="Listeafsnit"/>
        <w:rPr>
          <w:sz w:val="24"/>
          <w:szCs w:val="24"/>
        </w:rPr>
      </w:pPr>
    </w:p>
    <w:p w14:paraId="2C472B8C" w14:textId="77777777" w:rsidR="005B59B1" w:rsidRDefault="005B59B1" w:rsidP="004B6433">
      <w:pPr>
        <w:pStyle w:val="Listeafsnit"/>
        <w:rPr>
          <w:sz w:val="24"/>
          <w:szCs w:val="24"/>
        </w:rPr>
      </w:pPr>
    </w:p>
    <w:p w14:paraId="08083F6D" w14:textId="4B554A75" w:rsidR="005B59B1" w:rsidRDefault="005B59B1" w:rsidP="005B59B1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Tegn </w:t>
      </w:r>
      <w:r>
        <w:rPr>
          <w:sz w:val="24"/>
          <w:szCs w:val="24"/>
        </w:rPr>
        <w:t xml:space="preserve">på samme vis </w:t>
      </w:r>
      <w:r>
        <w:rPr>
          <w:sz w:val="24"/>
          <w:szCs w:val="24"/>
        </w:rPr>
        <w:t>horisontlinen, forsvindingspunktet og de perspektiviske linjer ind på</w:t>
      </w:r>
      <w:r>
        <w:rPr>
          <w:sz w:val="24"/>
          <w:szCs w:val="24"/>
        </w:rPr>
        <w:t xml:space="preserve"> Rafaels maleri</w:t>
      </w:r>
      <w:r>
        <w:rPr>
          <w:sz w:val="24"/>
          <w:szCs w:val="24"/>
        </w:rPr>
        <w:t xml:space="preserve"> </w:t>
      </w:r>
      <w:r w:rsidRPr="005B59B1">
        <w:rPr>
          <w:i/>
          <w:iCs/>
          <w:sz w:val="24"/>
          <w:szCs w:val="24"/>
        </w:rPr>
        <w:t>Skolen i Athe</w:t>
      </w:r>
      <w:r>
        <w:rPr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, så </w:t>
      </w:r>
      <w:r>
        <w:rPr>
          <w:sz w:val="24"/>
          <w:szCs w:val="24"/>
        </w:rPr>
        <w:t>også i det billede</w:t>
      </w:r>
      <w:r>
        <w:rPr>
          <w:sz w:val="24"/>
          <w:szCs w:val="24"/>
        </w:rPr>
        <w:t xml:space="preserve"> fremhæver centralperspektivet.</w:t>
      </w:r>
    </w:p>
    <w:p w14:paraId="201A6D82" w14:textId="06CD984B" w:rsidR="005B59B1" w:rsidRPr="00535DBF" w:rsidRDefault="005B59B1" w:rsidP="005B59B1">
      <w:pPr>
        <w:pStyle w:val="Listeafsnit"/>
        <w:rPr>
          <w:sz w:val="24"/>
          <w:szCs w:val="24"/>
        </w:rPr>
      </w:pPr>
    </w:p>
    <w:p w14:paraId="6F16FCC3" w14:textId="77777777" w:rsidR="00535DBF" w:rsidRPr="00535DBF" w:rsidRDefault="00535DBF" w:rsidP="004B6433">
      <w:pPr>
        <w:pStyle w:val="Listeafsnit"/>
        <w:rPr>
          <w:sz w:val="24"/>
          <w:szCs w:val="24"/>
        </w:rPr>
      </w:pPr>
    </w:p>
    <w:p w14:paraId="4380BBA5" w14:textId="11914D8F" w:rsidR="00752D0B" w:rsidRDefault="00535DBF" w:rsidP="00057AD9">
      <w:pPr>
        <w:pStyle w:val="Listeafsnit"/>
        <w:rPr>
          <w:sz w:val="24"/>
          <w:szCs w:val="24"/>
        </w:rPr>
      </w:pPr>
      <w:r w:rsidRPr="00535DBF">
        <w:rPr>
          <w:noProof/>
          <w:sz w:val="24"/>
          <w:szCs w:val="24"/>
          <w:lang w:eastAsia="da-DK"/>
        </w:rPr>
        <w:lastRenderedPageBreak/>
        <w:drawing>
          <wp:inline distT="0" distB="0" distL="0" distR="0" wp14:anchorId="0E385C1D" wp14:editId="13051EE9">
            <wp:extent cx="5486555" cy="7941365"/>
            <wp:effectExtent l="0" t="0" r="0" b="0"/>
            <wp:docPr id="1" name="Billede 1" descr="http://www.wga.hu/art/r/raphael/1early/10spoz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ga.hu/art/r/raphael/1early/10spoz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842" cy="806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4F26BC" w14:textId="470D6D2C" w:rsidR="00057AD9" w:rsidRPr="00057AD9" w:rsidRDefault="00057AD9" w:rsidP="00057AD9">
      <w:pPr>
        <w:pStyle w:val="Listeafsnit"/>
        <w:rPr>
          <w:sz w:val="24"/>
          <w:szCs w:val="24"/>
        </w:rPr>
      </w:pPr>
      <w:r w:rsidRPr="00535DBF">
        <w:rPr>
          <w:rFonts w:eastAsia="Times New Roman" w:cs="Times New Roman"/>
          <w:sz w:val="24"/>
          <w:szCs w:val="24"/>
          <w:lang w:eastAsia="da-DK"/>
        </w:rPr>
        <w:t>Rafael</w:t>
      </w:r>
      <w:r>
        <w:rPr>
          <w:rFonts w:eastAsia="Times New Roman" w:cs="Times New Roman"/>
          <w:sz w:val="24"/>
          <w:szCs w:val="24"/>
          <w:lang w:eastAsia="da-DK"/>
        </w:rPr>
        <w:t>:</w:t>
      </w:r>
      <w:r w:rsidRPr="00535DBF">
        <w:rPr>
          <w:rFonts w:eastAsia="Times New Roman" w:cs="Times New Roman"/>
          <w:sz w:val="24"/>
          <w:szCs w:val="24"/>
          <w:lang w:eastAsia="da-DK"/>
        </w:rPr>
        <w:t xml:space="preserve"> </w:t>
      </w:r>
      <w:r w:rsidRPr="00535DBF">
        <w:rPr>
          <w:rFonts w:eastAsia="Times New Roman" w:cs="Times New Roman"/>
          <w:i/>
          <w:iCs/>
          <w:sz w:val="24"/>
          <w:szCs w:val="24"/>
          <w:lang w:eastAsia="da-DK"/>
        </w:rPr>
        <w:t>Jomfru Marias trolovelse</w:t>
      </w:r>
      <w:r>
        <w:rPr>
          <w:rFonts w:eastAsia="Times New Roman" w:cs="Times New Roman"/>
          <w:i/>
          <w:iCs/>
          <w:sz w:val="24"/>
          <w:szCs w:val="24"/>
          <w:lang w:eastAsia="da-DK"/>
        </w:rPr>
        <w:t xml:space="preserve">, </w:t>
      </w:r>
      <w:r>
        <w:rPr>
          <w:rFonts w:eastAsia="Times New Roman" w:cs="Times New Roman"/>
          <w:sz w:val="24"/>
          <w:szCs w:val="24"/>
          <w:lang w:eastAsia="da-DK"/>
        </w:rPr>
        <w:t>1504</w:t>
      </w:r>
    </w:p>
    <w:sectPr w:rsidR="00057AD9" w:rsidRPr="00057AD9" w:rsidSect="00115A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F185C"/>
    <w:multiLevelType w:val="hybridMultilevel"/>
    <w:tmpl w:val="45E0F7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62A43"/>
    <w:multiLevelType w:val="hybridMultilevel"/>
    <w:tmpl w:val="F33E2D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909722">
    <w:abstractNumId w:val="0"/>
  </w:num>
  <w:num w:numId="2" w16cid:durableId="1676953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0B"/>
    <w:rsid w:val="00057AD9"/>
    <w:rsid w:val="00115ADC"/>
    <w:rsid w:val="00221F73"/>
    <w:rsid w:val="004B6433"/>
    <w:rsid w:val="005315E6"/>
    <w:rsid w:val="00535DBF"/>
    <w:rsid w:val="005B59B1"/>
    <w:rsid w:val="00752D0B"/>
    <w:rsid w:val="009C7E80"/>
    <w:rsid w:val="00AF04F8"/>
    <w:rsid w:val="00C1562E"/>
    <w:rsid w:val="00C62CB8"/>
    <w:rsid w:val="00E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0CBA"/>
  <w15:docId w15:val="{A33767C8-8F8B-4469-A941-F85CE2CE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A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52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Ditte Bang Skovgård-Hansen</cp:lastModifiedBy>
  <cp:revision>3</cp:revision>
  <dcterms:created xsi:type="dcterms:W3CDTF">2025-11-10T10:49:00Z</dcterms:created>
  <dcterms:modified xsi:type="dcterms:W3CDTF">2025-11-10T10:52:00Z</dcterms:modified>
</cp:coreProperties>
</file>