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8C" w:rsidRPr="00750FE3" w:rsidRDefault="00944B77">
      <w:pPr>
        <w:rPr>
          <w:color w:val="548DD4" w:themeColor="text2" w:themeTint="99"/>
          <w:sz w:val="32"/>
          <w:szCs w:val="32"/>
        </w:rPr>
      </w:pPr>
      <w:r w:rsidRPr="00750FE3">
        <w:rPr>
          <w:color w:val="548DD4" w:themeColor="text2" w:themeTint="99"/>
          <w:sz w:val="32"/>
          <w:szCs w:val="32"/>
        </w:rPr>
        <w:t>Historiefaglig redegørelse</w:t>
      </w:r>
    </w:p>
    <w:p w:rsidR="00750FE3" w:rsidRDefault="00750FE3">
      <w:pPr>
        <w:rPr>
          <w:sz w:val="32"/>
          <w:szCs w:val="32"/>
        </w:rPr>
      </w:pPr>
      <w:r>
        <w:rPr>
          <w:rFonts w:ascii="AvenirNextLTW02-Regular" w:hAnsi="AvenirNextLTW02-Regular"/>
          <w:noProof/>
          <w:color w:val="333333"/>
          <w:sz w:val="21"/>
          <w:szCs w:val="21"/>
        </w:rPr>
        <w:drawing>
          <wp:inline distT="0" distB="0" distL="0" distR="0">
            <wp:extent cx="2095500" cy="1650207"/>
            <wp:effectExtent l="0" t="0" r="0" b="7620"/>
            <wp:docPr id="3" name="Billede 3" descr="http://laeringsuniverset.frederiksberg.dk/sites/laeringsuniverset/files/styles/full_standard/public/images/g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eringsuniverset.frederiksberg.dk/sites/laeringsuniverset/files/styles/full_standard/public/images/gri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56" cy="16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C7EC7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531F04F" wp14:editId="07DCBCA7">
            <wp:extent cx="1794594" cy="1365885"/>
            <wp:effectExtent l="0" t="0" r="0" b="5715"/>
            <wp:docPr id="1" name="Billede 1" descr="Billedresultat for historiebøg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historiebøg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1" cy="138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7C8C" w:rsidRDefault="00D57C8C">
      <w:pPr>
        <w:rPr>
          <w:sz w:val="32"/>
          <w:szCs w:val="32"/>
        </w:rPr>
      </w:pPr>
    </w:p>
    <w:p w:rsidR="00D57C8C" w:rsidRDefault="00944B77">
      <w:r>
        <w:t>En redegørelse er en opgave, hvor man skal gøre rede for eksempelvis et forløb, en periode, årsagerne til noget. Fx: Gør rede for industrialiseringen af Danmark.</w:t>
      </w:r>
    </w:p>
    <w:p w:rsidR="00D57C8C" w:rsidRDefault="00D57C8C"/>
    <w:p w:rsidR="00D57C8C" w:rsidRDefault="00944B77">
      <w:r>
        <w:t>En redegørelse starter (ofte) med nogle generelle betragtninger om en periode eller årsagerne til en begivenhed, hvorefter perioden og/eller årsagerne behandles uddybende.</w:t>
      </w:r>
    </w:p>
    <w:p w:rsidR="00D57C8C" w:rsidRDefault="00D57C8C"/>
    <w:p w:rsidR="00D57C8C" w:rsidRDefault="00944B77">
      <w:bookmarkStart w:id="1" w:name="_4u0xetbey8d5" w:colFirst="0" w:colLast="0"/>
      <w:bookmarkEnd w:id="1"/>
      <w:r>
        <w:t>Målet med redegørelsen er at give en fokuseret og optimal gengivelse af emnet på baggrund af flere værkers fremstilling, som man skal behandle objektivt. Dvs. at man i sin opgave skal holde sig til forfatternes/historikernes beskrivelse af historien i deres fremstilling.</w:t>
      </w:r>
    </w:p>
    <w:p w:rsidR="00D57C8C" w:rsidRDefault="00D57C8C">
      <w:bookmarkStart w:id="2" w:name="_v0ba8u769063" w:colFirst="0" w:colLast="0"/>
      <w:bookmarkEnd w:id="2"/>
    </w:p>
    <w:p w:rsidR="00D57C8C" w:rsidRDefault="00D57C8C">
      <w:bookmarkStart w:id="3" w:name="_p6f9s6l8u3zc" w:colFirst="0" w:colLast="0"/>
      <w:bookmarkEnd w:id="3"/>
    </w:p>
    <w:p w:rsidR="00D57C8C" w:rsidRDefault="00944B77">
      <w:bookmarkStart w:id="4" w:name="_p1k16daeunyd" w:colFirst="0" w:colLast="0"/>
      <w:bookmarkEnd w:id="4"/>
      <w:r>
        <w:t>Man kan lægge et nyt lag på redegørelsen, hvor man indfletter et kommenteret citat. Citatet må altså ikke stå alene, og det er vigtigt, at I viser, ved at kommentere på det, hvorfor citatet er relevant ift. det, I ønsker at redegøre for.  Man må derfor ikke alene bruge citatet som dokumentation.</w:t>
      </w:r>
    </w:p>
    <w:p w:rsidR="00D57C8C" w:rsidRDefault="00D57C8C">
      <w:bookmarkStart w:id="5" w:name="_eaeapebkufcx" w:colFirst="0" w:colLast="0"/>
      <w:bookmarkEnd w:id="5"/>
    </w:p>
    <w:p w:rsidR="00D57C8C" w:rsidRDefault="00944B77">
      <w:bookmarkStart w:id="6" w:name="_8q0sxzcx5t8h" w:colFirst="0" w:colLast="0"/>
      <w:bookmarkEnd w:id="6"/>
      <w:r>
        <w:t>Lav en korrekt henvisning (fodnote) efter citatet.</w:t>
      </w:r>
    </w:p>
    <w:p w:rsidR="00D57C8C" w:rsidRDefault="00D57C8C">
      <w:bookmarkStart w:id="7" w:name="_snjuhhl9k0db" w:colFirst="0" w:colLast="0"/>
      <w:bookmarkEnd w:id="7"/>
    </w:p>
    <w:p w:rsidR="00D57C8C" w:rsidRDefault="00944B77">
      <w:pPr>
        <w:rPr>
          <w:b/>
          <w:sz w:val="22"/>
          <w:szCs w:val="22"/>
        </w:rPr>
      </w:pPr>
      <w:bookmarkStart w:id="8" w:name="_k0ay331tayiv" w:colFirst="0" w:colLast="0"/>
      <w:bookmarkEnd w:id="8"/>
      <w:r>
        <w:rPr>
          <w:b/>
          <w:sz w:val="22"/>
          <w:szCs w:val="22"/>
        </w:rPr>
        <w:t>Eksempel 1:</w:t>
      </w:r>
    </w:p>
    <w:p w:rsidR="00D57C8C" w:rsidRDefault="00D57C8C">
      <w:pPr>
        <w:rPr>
          <w:sz w:val="22"/>
          <w:szCs w:val="22"/>
        </w:rPr>
      </w:pPr>
      <w:bookmarkStart w:id="9" w:name="_tdmt25mj54de" w:colFirst="0" w:colLast="0"/>
      <w:bookmarkEnd w:id="9"/>
    </w:p>
    <w:p w:rsidR="00D57C8C" w:rsidRDefault="00944B77">
      <w:pPr>
        <w:rPr>
          <w:sz w:val="22"/>
          <w:szCs w:val="22"/>
        </w:rPr>
      </w:pPr>
      <w:bookmarkStart w:id="10" w:name="_g5f6ct5mrm3d" w:colFirst="0" w:colLast="0"/>
      <w:bookmarkEnd w:id="10"/>
      <w:r>
        <w:rPr>
          <w:sz w:val="22"/>
          <w:szCs w:val="22"/>
        </w:rPr>
        <w:t xml:space="preserve">Industrialiseringen medførte en stor samfundsændring, og det forklares på forskellig vis. </w:t>
      </w:r>
      <w:proofErr w:type="spellStart"/>
      <w:r>
        <w:rPr>
          <w:sz w:val="22"/>
          <w:szCs w:val="22"/>
        </w:rPr>
        <w:t>Granov</w:t>
      </w:r>
      <w:proofErr w:type="spellEnd"/>
      <w:r>
        <w:rPr>
          <w:sz w:val="22"/>
          <w:szCs w:val="22"/>
        </w:rPr>
        <w:t xml:space="preserve"> fremhæver fremvæksten af fabrikkerne således: “Først i 1890'erne blev der etableret et større antal store mekaniserede fabrikker med mange, typisk ufaglærte, ansatte, der producerede store mængder varer. Fremvæksten af disse fabrikker fik afgørende betydning for samfundsudviklingen”</w:t>
      </w:r>
      <w:r>
        <w:rPr>
          <w:i/>
          <w:sz w:val="22"/>
          <w:szCs w:val="22"/>
        </w:rPr>
        <w:t>.</w:t>
      </w:r>
      <w:r>
        <w:rPr>
          <w:sz w:val="22"/>
          <w:szCs w:val="22"/>
          <w:vertAlign w:val="superscript"/>
        </w:rPr>
        <w:footnoteReference w:id="1"/>
      </w:r>
    </w:p>
    <w:p w:rsidR="00D57C8C" w:rsidRDefault="00D57C8C">
      <w:pPr>
        <w:rPr>
          <w:sz w:val="22"/>
          <w:szCs w:val="22"/>
        </w:rPr>
      </w:pPr>
      <w:bookmarkStart w:id="11" w:name="_miuw8hnll7pa" w:colFirst="0" w:colLast="0"/>
      <w:bookmarkEnd w:id="11"/>
    </w:p>
    <w:p w:rsidR="00D57C8C" w:rsidRDefault="00944B77">
      <w:pPr>
        <w:rPr>
          <w:b/>
          <w:sz w:val="22"/>
          <w:szCs w:val="22"/>
        </w:rPr>
      </w:pPr>
      <w:bookmarkStart w:id="12" w:name="_ocetj7rvqtw0" w:colFirst="0" w:colLast="0"/>
      <w:bookmarkEnd w:id="12"/>
      <w:r>
        <w:rPr>
          <w:b/>
          <w:sz w:val="22"/>
          <w:szCs w:val="22"/>
        </w:rPr>
        <w:t xml:space="preserve">Eksempel 2: </w:t>
      </w:r>
    </w:p>
    <w:p w:rsidR="00D57C8C" w:rsidRDefault="00D57C8C">
      <w:pPr>
        <w:rPr>
          <w:b/>
          <w:sz w:val="22"/>
          <w:szCs w:val="22"/>
        </w:rPr>
      </w:pPr>
      <w:bookmarkStart w:id="13" w:name="_h8ajt3ww4128" w:colFirst="0" w:colLast="0"/>
      <w:bookmarkEnd w:id="13"/>
    </w:p>
    <w:p w:rsidR="00D57C8C" w:rsidRDefault="00944B77">
      <w:pPr>
        <w:rPr>
          <w:sz w:val="22"/>
          <w:szCs w:val="22"/>
        </w:rPr>
      </w:pPr>
      <w:bookmarkStart w:id="14" w:name="_gszpludnoyih" w:colFirst="0" w:colLast="0"/>
      <w:bookmarkEnd w:id="14"/>
      <w:r>
        <w:rPr>
          <w:i/>
          <w:sz w:val="22"/>
          <w:szCs w:val="22"/>
        </w:rPr>
        <w:t>“</w:t>
      </w:r>
      <w:r>
        <w:rPr>
          <w:sz w:val="22"/>
          <w:szCs w:val="22"/>
        </w:rPr>
        <w:t xml:space="preserve">Op igennem 1900-tallet gav flere store </w:t>
      </w:r>
      <w:proofErr w:type="spellStart"/>
      <w:r>
        <w:rPr>
          <w:sz w:val="22"/>
          <w:szCs w:val="22"/>
        </w:rPr>
        <w:t>overensskomstaftaler</w:t>
      </w:r>
      <w:proofErr w:type="spellEnd"/>
      <w:r>
        <w:rPr>
          <w:sz w:val="22"/>
          <w:szCs w:val="22"/>
        </w:rPr>
        <w:t xml:space="preserve"> arbejderne stadig bedre løn, mere sikre arbejdspladser og kortere arbejdstider</w:t>
      </w:r>
      <w:r>
        <w:rPr>
          <w:i/>
          <w:sz w:val="22"/>
          <w:szCs w:val="22"/>
        </w:rPr>
        <w:t>.”</w:t>
      </w:r>
      <w:r>
        <w:rPr>
          <w:sz w:val="22"/>
          <w:szCs w:val="22"/>
        </w:rPr>
        <w:t xml:space="preserve"> Hermed hævder Bjerregaard, at arbejderne fik bedre vilkår, da arbejdsmarkedets parter begyndte at lave overenskomster.</w:t>
      </w:r>
      <w:r>
        <w:rPr>
          <w:sz w:val="22"/>
          <w:szCs w:val="22"/>
          <w:vertAlign w:val="superscript"/>
        </w:rPr>
        <w:footnoteReference w:id="2"/>
      </w:r>
    </w:p>
    <w:p w:rsidR="00D57C8C" w:rsidRDefault="00D57C8C">
      <w:pPr>
        <w:spacing w:line="288" w:lineRule="auto"/>
        <w:rPr>
          <w:sz w:val="22"/>
          <w:szCs w:val="22"/>
        </w:rPr>
      </w:pPr>
    </w:p>
    <w:p w:rsidR="00D57C8C" w:rsidRDefault="00D57C8C">
      <w:pPr>
        <w:rPr>
          <w:b/>
        </w:rPr>
      </w:pPr>
      <w:bookmarkStart w:id="15" w:name="_gjdgxs" w:colFirst="0" w:colLast="0"/>
      <w:bookmarkEnd w:id="15"/>
    </w:p>
    <w:sectPr w:rsidR="00D57C8C">
      <w:pgSz w:w="11900" w:h="16840"/>
      <w:pgMar w:top="1701" w:right="1134" w:bottom="1701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4B" w:rsidRDefault="00DC494B">
      <w:r>
        <w:separator/>
      </w:r>
    </w:p>
  </w:endnote>
  <w:endnote w:type="continuationSeparator" w:id="0">
    <w:p w:rsidR="00DC494B" w:rsidRDefault="00DC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W02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4B" w:rsidRDefault="00DC494B">
      <w:r>
        <w:separator/>
      </w:r>
    </w:p>
  </w:footnote>
  <w:footnote w:type="continuationSeparator" w:id="0">
    <w:p w:rsidR="00DC494B" w:rsidRDefault="00DC494B">
      <w:r>
        <w:continuationSeparator/>
      </w:r>
    </w:p>
  </w:footnote>
  <w:footnote w:id="1">
    <w:p w:rsidR="00D57C8C" w:rsidRDefault="00944B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Granov</w:t>
      </w:r>
      <w:proofErr w:type="spellEnd"/>
      <w:r>
        <w:rPr>
          <w:sz w:val="20"/>
          <w:szCs w:val="20"/>
        </w:rPr>
        <w:t>, Kristoffer, 2015</w:t>
      </w:r>
    </w:p>
  </w:footnote>
  <w:footnote w:id="2">
    <w:p w:rsidR="00D57C8C" w:rsidRDefault="00944B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Bjerregaard, Kathrine, http://www.his2rie.dk/temaer/danmarks-industrialisering/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C"/>
    <w:rsid w:val="005B4662"/>
    <w:rsid w:val="006C7EC7"/>
    <w:rsid w:val="00750FE3"/>
    <w:rsid w:val="00944B77"/>
    <w:rsid w:val="00D321B7"/>
    <w:rsid w:val="00D57C8C"/>
    <w:rsid w:val="00D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59EF5-7758-4D7F-9C49-7459124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FE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dk/url?sa=i&amp;rct=j&amp;q=&amp;esrc=s&amp;source=images&amp;cd=&amp;cad=rja&amp;uact=8&amp;ved=2ahUKEwixgPvCo5HZAhUMhywKHfMvB_wQjRx6BAgAEAY&amp;url=http://www.visensvennertaastrup.dk/VVT-Historiebooks/VVT-Mobilvenlig2013-Historiebog-fliser.htm&amp;psig=AOvVaw2WEHU6ibl9rIiipqt3YCa0&amp;ust=1518006092388346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4" ma:contentTypeDescription="Opret et nyt dokument." ma:contentTypeScope="" ma:versionID="df548f137b997fb79582e0dbc73e886b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3db2af0ffa29bcc01755abb66d03166d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b7f584-44d9-4cc3-98df-9ae36d822711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Props1.xml><?xml version="1.0" encoding="utf-8"?>
<ds:datastoreItem xmlns:ds="http://schemas.openxmlformats.org/officeDocument/2006/customXml" ds:itemID="{E8DC4459-D51F-49D7-806D-CA33D230627A}"/>
</file>

<file path=customXml/itemProps2.xml><?xml version="1.0" encoding="utf-8"?>
<ds:datastoreItem xmlns:ds="http://schemas.openxmlformats.org/officeDocument/2006/customXml" ds:itemID="{47C51B2C-8C18-482F-8BD5-41494F650A30}"/>
</file>

<file path=customXml/itemProps3.xml><?xml version="1.0" encoding="utf-8"?>
<ds:datastoreItem xmlns:ds="http://schemas.openxmlformats.org/officeDocument/2006/customXml" ds:itemID="{A3AA4A6D-297C-49DA-A39F-FAD61891C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Malene Sørensen</cp:lastModifiedBy>
  <cp:revision>4</cp:revision>
  <cp:lastPrinted>2018-02-06T12:25:00Z</cp:lastPrinted>
  <dcterms:created xsi:type="dcterms:W3CDTF">2018-02-03T10:47:00Z</dcterms:created>
  <dcterms:modified xsi:type="dcterms:W3CDTF">2018-02-06T12:25:00Z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