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4CA8" w14:textId="5EAC8480" w:rsidR="00FF2D27" w:rsidRDefault="00FF2D27" w:rsidP="00FF2D27">
      <w:pPr>
        <w:spacing w:after="0" w:line="240" w:lineRule="auto"/>
        <w:textAlignment w:val="baseline"/>
        <w:rPr>
          <w:rFonts w:ascii="Calibri" w:eastAsia="Times New Roman" w:hAnsi="Calibri" w:cs="Calibri"/>
          <w:color w:val="2E74B5"/>
          <w:sz w:val="26"/>
          <w:szCs w:val="26"/>
          <w:lang w:eastAsia="da-DK"/>
        </w:rPr>
      </w:pPr>
      <w:r w:rsidRPr="00FF2D27">
        <w:rPr>
          <w:rFonts w:ascii="Calibri" w:eastAsia="Times New Roman" w:hAnsi="Calibri" w:cs="Calibri"/>
          <w:color w:val="2E74B5"/>
          <w:sz w:val="26"/>
          <w:szCs w:val="26"/>
          <w:lang w:eastAsia="da-DK"/>
        </w:rPr>
        <w:t>Historiebrug </w:t>
      </w:r>
    </w:p>
    <w:p w14:paraId="1B63F958" w14:textId="77777777" w:rsidR="00FF2D27" w:rsidRPr="00FF2D27" w:rsidRDefault="00FF2D27" w:rsidP="00FF2D27">
      <w:pPr>
        <w:spacing w:after="0" w:line="240" w:lineRule="auto"/>
        <w:textAlignment w:val="baseline"/>
        <w:rPr>
          <w:rFonts w:ascii="Segoe UI" w:eastAsia="Times New Roman" w:hAnsi="Segoe UI" w:cs="Segoe UI"/>
          <w:color w:val="2E74B5"/>
          <w:sz w:val="18"/>
          <w:szCs w:val="18"/>
          <w:lang w:eastAsia="da-DK"/>
        </w:rPr>
      </w:pPr>
    </w:p>
    <w:p w14:paraId="486E9DC6" w14:textId="3A861ACB" w:rsidR="00FF2D27" w:rsidRPr="00FF2D27" w:rsidRDefault="00FF2D27" w:rsidP="00FF2D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FF2D27">
        <w:rPr>
          <w:rFonts w:ascii="Calibri" w:eastAsia="Times New Roman" w:hAnsi="Calibri" w:cs="Calibri"/>
          <w:lang w:eastAsia="da-DK"/>
        </w:rPr>
        <w:t>Det</w:t>
      </w:r>
      <w:r>
        <w:rPr>
          <w:rFonts w:ascii="Calibri" w:eastAsia="Times New Roman" w:hAnsi="Calibri" w:cs="Calibri"/>
          <w:lang w:eastAsia="da-DK"/>
        </w:rPr>
        <w:t xml:space="preserve"> er</w:t>
      </w:r>
      <w:r w:rsidRPr="00FF2D27">
        <w:rPr>
          <w:rFonts w:ascii="Calibri" w:eastAsia="Times New Roman" w:hAnsi="Calibri" w:cs="Calibri"/>
          <w:lang w:eastAsia="da-DK"/>
        </w:rPr>
        <w:t xml:space="preserve"> ikke kun i historietimerne, at man møder </w:t>
      </w:r>
      <w:r w:rsidRPr="00FF2D27">
        <w:rPr>
          <w:rFonts w:ascii="Calibri" w:eastAsia="Times New Roman" w:hAnsi="Calibri" w:cs="Calibri"/>
          <w:b/>
          <w:bCs/>
          <w:lang w:eastAsia="da-DK"/>
        </w:rPr>
        <w:t>historiebrug</w:t>
      </w:r>
      <w:r w:rsidRPr="00FF2D27">
        <w:rPr>
          <w:rFonts w:ascii="Calibri" w:eastAsia="Times New Roman" w:hAnsi="Calibri" w:cs="Calibri"/>
          <w:lang w:eastAsia="da-DK"/>
        </w:rPr>
        <w:t>. Man møder historiebrug alle steder. Historiefaget handler om både levet fortid og fortalt historie. Alt det, som fortiden har efterladt</w:t>
      </w:r>
      <w:r w:rsidR="00E11ADE">
        <w:rPr>
          <w:rFonts w:ascii="Calibri" w:eastAsia="Times New Roman" w:hAnsi="Calibri" w:cs="Calibri"/>
          <w:lang w:eastAsia="da-DK"/>
        </w:rPr>
        <w:t xml:space="preserve"> os</w:t>
      </w:r>
      <w:r w:rsidRPr="00FF2D27">
        <w:rPr>
          <w:rFonts w:ascii="Calibri" w:eastAsia="Times New Roman" w:hAnsi="Calibri" w:cs="Calibri"/>
          <w:lang w:eastAsia="da-DK"/>
        </w:rPr>
        <w:t xml:space="preserve">, og alt det, som er skrevet om fortiden, indgår i det, man samlet kan kalde </w:t>
      </w:r>
      <w:r w:rsidRPr="00E11ADE">
        <w:rPr>
          <w:rFonts w:ascii="Calibri" w:eastAsia="Times New Roman" w:hAnsi="Calibri" w:cs="Calibri"/>
          <w:lang w:eastAsia="da-DK"/>
        </w:rPr>
        <w:t>for</w:t>
      </w:r>
      <w:r w:rsidRPr="00E11ADE">
        <w:rPr>
          <w:rFonts w:ascii="Calibri" w:eastAsia="Times New Roman" w:hAnsi="Calibri" w:cs="Calibri"/>
          <w:b/>
          <w:bCs/>
          <w:lang w:eastAsia="da-DK"/>
        </w:rPr>
        <w:t> historiekultur</w:t>
      </w:r>
      <w:r w:rsidRPr="00FF2D27">
        <w:rPr>
          <w:rFonts w:ascii="Calibri" w:eastAsia="Times New Roman" w:hAnsi="Calibri" w:cs="Calibri"/>
          <w:lang w:eastAsia="da-DK"/>
        </w:rPr>
        <w:t xml:space="preserve"> eller </w:t>
      </w:r>
      <w:r w:rsidRPr="00FF2D27">
        <w:rPr>
          <w:rFonts w:ascii="Calibri" w:eastAsia="Times New Roman" w:hAnsi="Calibri" w:cs="Calibri"/>
          <w:b/>
          <w:bCs/>
          <w:lang w:eastAsia="da-DK"/>
        </w:rPr>
        <w:t>erindringssteder</w:t>
      </w:r>
      <w:r w:rsidRPr="00FF2D27">
        <w:rPr>
          <w:rFonts w:ascii="Calibri" w:eastAsia="Times New Roman" w:hAnsi="Calibri" w:cs="Calibri"/>
          <w:lang w:eastAsia="da-DK"/>
        </w:rPr>
        <w:t>. </w:t>
      </w:r>
    </w:p>
    <w:p w14:paraId="658A5C8E" w14:textId="77777777" w:rsidR="00FF2D27" w:rsidRDefault="00FF2D27" w:rsidP="00FF2D27">
      <w:pPr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</w:p>
    <w:p w14:paraId="56A79F7A" w14:textId="3EADF630" w:rsidR="00FF2D27" w:rsidRPr="00FF2D27" w:rsidRDefault="00FF2D27" w:rsidP="00FF2D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FF2D27">
        <w:rPr>
          <w:rFonts w:ascii="Calibri" w:eastAsia="Times New Roman" w:hAnsi="Calibri" w:cs="Calibri"/>
          <w:lang w:eastAsia="da-DK"/>
        </w:rPr>
        <w:t xml:space="preserve">Når man beskæftiger sig med historiebrug, interesserer man sig for, hvordan fortiden </w:t>
      </w:r>
      <w:r w:rsidRPr="00FF2D27">
        <w:rPr>
          <w:rFonts w:ascii="Calibri" w:eastAsia="Times New Roman" w:hAnsi="Calibri" w:cs="Calibri"/>
          <w:u w:val="single"/>
          <w:lang w:eastAsia="da-DK"/>
        </w:rPr>
        <w:t>fortolkes</w:t>
      </w:r>
      <w:r w:rsidRPr="00FF2D27">
        <w:rPr>
          <w:rFonts w:ascii="Calibri" w:eastAsia="Times New Roman" w:hAnsi="Calibri" w:cs="Calibri"/>
          <w:lang w:eastAsia="da-DK"/>
        </w:rPr>
        <w:t xml:space="preserve">, </w:t>
      </w:r>
      <w:r w:rsidRPr="00FF2D27">
        <w:rPr>
          <w:rFonts w:ascii="Calibri" w:eastAsia="Times New Roman" w:hAnsi="Calibri" w:cs="Calibri"/>
          <w:u w:val="single"/>
          <w:lang w:eastAsia="da-DK"/>
        </w:rPr>
        <w:t>fremstilles</w:t>
      </w:r>
      <w:r w:rsidRPr="00FF2D27">
        <w:rPr>
          <w:rFonts w:ascii="Calibri" w:eastAsia="Times New Roman" w:hAnsi="Calibri" w:cs="Calibri"/>
          <w:lang w:eastAsia="da-DK"/>
        </w:rPr>
        <w:t xml:space="preserve"> og </w:t>
      </w:r>
      <w:r w:rsidRPr="00FF2D27">
        <w:rPr>
          <w:rFonts w:ascii="Calibri" w:eastAsia="Times New Roman" w:hAnsi="Calibri" w:cs="Calibri"/>
          <w:u w:val="single"/>
          <w:lang w:eastAsia="da-DK"/>
        </w:rPr>
        <w:t>bruges</w:t>
      </w:r>
      <w:r w:rsidRPr="00FF2D27">
        <w:rPr>
          <w:rFonts w:ascii="Calibri" w:eastAsia="Times New Roman" w:hAnsi="Calibri" w:cs="Calibri"/>
          <w:lang w:eastAsia="da-DK"/>
        </w:rPr>
        <w:t xml:space="preserve"> forskelligt </w:t>
      </w:r>
      <w:r w:rsidR="004775BF">
        <w:rPr>
          <w:rFonts w:ascii="Calibri" w:eastAsia="Times New Roman" w:hAnsi="Calibri" w:cs="Calibri"/>
          <w:lang w:eastAsia="da-DK"/>
        </w:rPr>
        <w:t>på</w:t>
      </w:r>
      <w:r w:rsidRPr="00FF2D27">
        <w:rPr>
          <w:rFonts w:ascii="Calibri" w:eastAsia="Times New Roman" w:hAnsi="Calibri" w:cs="Calibri"/>
          <w:lang w:eastAsia="da-DK"/>
        </w:rPr>
        <w:t xml:space="preserve"> forskellig</w:t>
      </w:r>
      <w:r w:rsidR="004775BF">
        <w:rPr>
          <w:rFonts w:ascii="Calibri" w:eastAsia="Times New Roman" w:hAnsi="Calibri" w:cs="Calibri"/>
          <w:lang w:eastAsia="da-DK"/>
        </w:rPr>
        <w:t>e</w:t>
      </w:r>
      <w:r w:rsidRPr="00FF2D27">
        <w:rPr>
          <w:rFonts w:ascii="Calibri" w:eastAsia="Times New Roman" w:hAnsi="Calibri" w:cs="Calibri"/>
          <w:lang w:eastAsia="da-DK"/>
        </w:rPr>
        <w:t xml:space="preserve"> tid</w:t>
      </w:r>
      <w:r w:rsidR="004775BF">
        <w:rPr>
          <w:rFonts w:ascii="Calibri" w:eastAsia="Times New Roman" w:hAnsi="Calibri" w:cs="Calibri"/>
          <w:lang w:eastAsia="da-DK"/>
        </w:rPr>
        <w:t>spunkter</w:t>
      </w:r>
      <w:r w:rsidRPr="00FF2D27">
        <w:rPr>
          <w:rFonts w:ascii="Calibri" w:eastAsia="Times New Roman" w:hAnsi="Calibri" w:cs="Calibri"/>
          <w:lang w:eastAsia="da-DK"/>
        </w:rPr>
        <w:t xml:space="preserve"> – og særligt, hvordan forskellige aktører bruger erindringssteder til at skabe en bestemt ”version” af historien/en bestemt </w:t>
      </w:r>
      <w:r w:rsidRPr="004775BF">
        <w:rPr>
          <w:rFonts w:ascii="Calibri" w:eastAsia="Times New Roman" w:hAnsi="Calibri" w:cs="Calibri"/>
          <w:b/>
          <w:bCs/>
          <w:lang w:eastAsia="da-DK"/>
        </w:rPr>
        <w:t>historiebevidsthed</w:t>
      </w:r>
      <w:r w:rsidRPr="00FF2D27">
        <w:rPr>
          <w:rFonts w:ascii="Calibri" w:eastAsia="Times New Roman" w:hAnsi="Calibri" w:cs="Calibri"/>
          <w:lang w:eastAsia="da-DK"/>
        </w:rPr>
        <w:t>, for at opnå noget i nutiden</w:t>
      </w:r>
      <w:r w:rsidR="004E412D">
        <w:rPr>
          <w:rFonts w:ascii="Calibri" w:eastAsia="Times New Roman" w:hAnsi="Calibri" w:cs="Calibri"/>
          <w:lang w:eastAsia="da-DK"/>
        </w:rPr>
        <w:t xml:space="preserve"> eller i fremtiden</w:t>
      </w:r>
      <w:r w:rsidRPr="00FF2D27">
        <w:rPr>
          <w:rFonts w:ascii="Calibri" w:eastAsia="Times New Roman" w:hAnsi="Calibri" w:cs="Calibri"/>
          <w:lang w:eastAsia="da-DK"/>
        </w:rPr>
        <w:t>. </w:t>
      </w:r>
    </w:p>
    <w:p w14:paraId="0CBAABF8" w14:textId="77777777" w:rsidR="00FF2D27" w:rsidRDefault="00FF2D27" w:rsidP="00FF2D27">
      <w:pPr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</w:p>
    <w:p w14:paraId="779DF065" w14:textId="465B48E1" w:rsidR="00FF2D27" w:rsidRDefault="00FF2D27" w:rsidP="00FF2D27">
      <w:pPr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  <w:r w:rsidRPr="00FF2D27">
        <w:rPr>
          <w:rFonts w:ascii="Calibri" w:eastAsia="Times New Roman" w:hAnsi="Calibri" w:cs="Calibri"/>
          <w:lang w:eastAsia="da-DK"/>
        </w:rPr>
        <w:t xml:space="preserve">Dette kan </w:t>
      </w:r>
      <w:r>
        <w:rPr>
          <w:rFonts w:ascii="Calibri" w:eastAsia="Times New Roman" w:hAnsi="Calibri" w:cs="Calibri"/>
          <w:lang w:eastAsia="da-DK"/>
        </w:rPr>
        <w:t>belyses</w:t>
      </w:r>
      <w:r w:rsidRPr="00FF2D27">
        <w:rPr>
          <w:rFonts w:ascii="Calibri" w:eastAsia="Times New Roman" w:hAnsi="Calibri" w:cs="Calibri"/>
          <w:lang w:eastAsia="da-DK"/>
        </w:rPr>
        <w:t xml:space="preserve"> vha. dette skema til historiebrugsanalyse: </w:t>
      </w:r>
    </w:p>
    <w:p w14:paraId="3707C844" w14:textId="77777777" w:rsidR="00FF2D27" w:rsidRPr="00FF2D27" w:rsidRDefault="00FF2D27" w:rsidP="00FF2D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949"/>
        <w:gridCol w:w="1901"/>
        <w:gridCol w:w="1905"/>
        <w:gridCol w:w="1966"/>
      </w:tblGrid>
      <w:tr w:rsidR="00391406" w:rsidRPr="00FF2D27" w14:paraId="7CE6E241" w14:textId="77777777" w:rsidTr="00FF2D27">
        <w:trPr>
          <w:trHeight w:val="510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C542C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Bruger(e)</w:t>
            </w: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5CAAA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Gør brug af fortiden…</w:t>
            </w: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  <w:p w14:paraId="42CCBBD1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E20FC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I nutiden…</w:t>
            </w: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43825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Med henblik på fremtiden</w:t>
            </w: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A99B0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Type(r) af historiebrug</w:t>
            </w:r>
            <w:r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</w:tr>
      <w:tr w:rsidR="00391406" w:rsidRPr="00FF2D27" w14:paraId="15249F85" w14:textId="77777777" w:rsidTr="00FF2D27">
        <w:trPr>
          <w:trHeight w:val="360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2D857" w14:textId="40BF888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da-DK"/>
              </w:rPr>
              <w:t>f.eks. A</w:t>
            </w:r>
            <w:r w:rsidR="0039140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da-DK"/>
              </w:rPr>
              <w:t>ugustus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25DD7" w14:textId="26B5332E" w:rsidR="00FF2D27" w:rsidRPr="00FF2D27" w:rsidRDefault="00391406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da-DK"/>
              </w:rPr>
              <w:t>Fremhæver sine bedrifter under borgerkrigen og i sin regeringsperiode</w:t>
            </w:r>
            <w:r w:rsidR="00FF2D27"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FDB0F" w14:textId="723CF1BA" w:rsidR="00FF2D27" w:rsidRPr="00FF2D27" w:rsidRDefault="00391406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da-DK"/>
              </w:rPr>
              <w:t>År 12-14 evt.</w:t>
            </w:r>
            <w:r w:rsidR="00FF2D27" w:rsidRPr="00FF2D27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39482" w14:textId="672C7E80" w:rsidR="00FF2D27" w:rsidRPr="00FF2D27" w:rsidRDefault="00391406" w:rsidP="00FF2D2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da-DK"/>
              </w:rPr>
              <w:t>Legitimere sit styre og sikre sin plads i historien på en positiv måde</w:t>
            </w:r>
            <w:r w:rsidR="00FF2D27" w:rsidRPr="00FF2D27">
              <w:rPr>
                <w:rFonts w:eastAsia="Times New Roman" w:cstheme="minorHAnsi"/>
                <w:i/>
                <w:iCs/>
                <w:sz w:val="20"/>
                <w:szCs w:val="20"/>
                <w:lang w:eastAsia="da-DK"/>
              </w:rPr>
              <w:t> </w:t>
            </w:r>
            <w:r w:rsidR="00FF2D27" w:rsidRPr="00FF2D27">
              <w:rPr>
                <w:rFonts w:eastAsia="Times New Roman" w:cstheme="minorHAnsi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B1DD7" w14:textId="2DBB5CC1" w:rsidR="00FF2D27" w:rsidRPr="00FF2D27" w:rsidRDefault="00391406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da-DK"/>
              </w:rPr>
              <w:t>Identitetsdannende, moralsk (ift. tidligere fjender), ikke-brug/misbrug, politisk (bagudstræbende)</w:t>
            </w:r>
          </w:p>
        </w:tc>
      </w:tr>
    </w:tbl>
    <w:p w14:paraId="08351629" w14:textId="77777777" w:rsidR="00FF2D27" w:rsidRDefault="00FF2D27" w:rsidP="00FF2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</w:p>
    <w:p w14:paraId="62ADF34A" w14:textId="77777777" w:rsidR="00FF2D27" w:rsidRDefault="00FF2D27" w:rsidP="00FF2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</w:p>
    <w:p w14:paraId="39085FB3" w14:textId="5C778E25" w:rsidR="00FF2D27" w:rsidRDefault="00FF2D27" w:rsidP="00FF2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  <w:r w:rsidRPr="00FF2D27">
        <w:rPr>
          <w:rFonts w:ascii="Calibri" w:eastAsia="Times New Roman" w:hAnsi="Calibri" w:cs="Calibri"/>
          <w:lang w:eastAsia="da-DK"/>
        </w:rPr>
        <w:t>Man kan dele den måde, vi bruger historie</w:t>
      </w:r>
      <w:r w:rsidR="004775BF">
        <w:rPr>
          <w:rFonts w:ascii="Calibri" w:eastAsia="Times New Roman" w:hAnsi="Calibri" w:cs="Calibri"/>
          <w:lang w:eastAsia="da-DK"/>
        </w:rPr>
        <w:t>n</w:t>
      </w:r>
      <w:r w:rsidRPr="00FF2D27">
        <w:rPr>
          <w:rFonts w:ascii="Calibri" w:eastAsia="Times New Roman" w:hAnsi="Calibri" w:cs="Calibri"/>
          <w:lang w:eastAsia="da-DK"/>
        </w:rPr>
        <w:t xml:space="preserve"> på, op i forskellige kategorier alt afhængig af, hvem der </w:t>
      </w:r>
      <w:r w:rsidR="004775BF">
        <w:rPr>
          <w:rFonts w:ascii="Calibri" w:eastAsia="Times New Roman" w:hAnsi="Calibri" w:cs="Calibri"/>
          <w:lang w:eastAsia="da-DK"/>
        </w:rPr>
        <w:t>er brugeren af historien</w:t>
      </w:r>
      <w:r w:rsidRPr="00FF2D27">
        <w:rPr>
          <w:rFonts w:ascii="Calibri" w:eastAsia="Times New Roman" w:hAnsi="Calibri" w:cs="Calibri"/>
          <w:lang w:eastAsia="da-DK"/>
        </w:rPr>
        <w:t>, samt hvilke</w:t>
      </w:r>
      <w:r w:rsidR="008F1DC0">
        <w:rPr>
          <w:rFonts w:ascii="Calibri" w:eastAsia="Times New Roman" w:hAnsi="Calibri" w:cs="Calibri"/>
          <w:lang w:eastAsia="da-DK"/>
        </w:rPr>
        <w:t>(t)</w:t>
      </w:r>
      <w:r w:rsidRPr="00FF2D27">
        <w:rPr>
          <w:rFonts w:ascii="Calibri" w:eastAsia="Times New Roman" w:hAnsi="Calibri" w:cs="Calibri"/>
          <w:lang w:eastAsia="da-DK"/>
        </w:rPr>
        <w:t xml:space="preserve"> formål de</w:t>
      </w:r>
      <w:r w:rsidR="004775BF">
        <w:rPr>
          <w:rFonts w:ascii="Calibri" w:eastAsia="Times New Roman" w:hAnsi="Calibri" w:cs="Calibri"/>
          <w:lang w:eastAsia="da-DK"/>
        </w:rPr>
        <w:t>nne</w:t>
      </w:r>
      <w:r w:rsidRPr="00FF2D27">
        <w:rPr>
          <w:rFonts w:ascii="Calibri" w:eastAsia="Times New Roman" w:hAnsi="Calibri" w:cs="Calibri"/>
          <w:lang w:eastAsia="da-DK"/>
        </w:rPr>
        <w:t xml:space="preserve"> </w:t>
      </w:r>
      <w:r w:rsidR="004775BF">
        <w:rPr>
          <w:rFonts w:ascii="Calibri" w:eastAsia="Times New Roman" w:hAnsi="Calibri" w:cs="Calibri"/>
          <w:lang w:eastAsia="da-DK"/>
        </w:rPr>
        <w:t>bruger</w:t>
      </w:r>
      <w:r w:rsidRPr="00FF2D27">
        <w:rPr>
          <w:rFonts w:ascii="Calibri" w:eastAsia="Times New Roman" w:hAnsi="Calibri" w:cs="Calibri"/>
          <w:lang w:eastAsia="da-DK"/>
        </w:rPr>
        <w:t xml:space="preserve"> har med </w:t>
      </w:r>
      <w:r w:rsidR="004775BF">
        <w:rPr>
          <w:rFonts w:ascii="Calibri" w:eastAsia="Times New Roman" w:hAnsi="Calibri" w:cs="Calibri"/>
          <w:lang w:eastAsia="da-DK"/>
        </w:rPr>
        <w:t>sin</w:t>
      </w:r>
      <w:r w:rsidRPr="00FF2D27">
        <w:rPr>
          <w:rFonts w:ascii="Calibri" w:eastAsia="Times New Roman" w:hAnsi="Calibri" w:cs="Calibri"/>
          <w:lang w:eastAsia="da-DK"/>
        </w:rPr>
        <w:t xml:space="preserve"> brug af historien</w:t>
      </w:r>
      <w:r w:rsidR="004775BF">
        <w:rPr>
          <w:rFonts w:ascii="Calibri" w:eastAsia="Times New Roman" w:hAnsi="Calibri" w:cs="Calibri"/>
          <w:lang w:eastAsia="da-DK"/>
        </w:rPr>
        <w:t>. D</w:t>
      </w:r>
      <w:r w:rsidRPr="00FF2D27">
        <w:rPr>
          <w:rFonts w:ascii="Calibri" w:eastAsia="Times New Roman" w:hAnsi="Calibri" w:cs="Calibri"/>
          <w:lang w:eastAsia="da-DK"/>
        </w:rPr>
        <w:t>isse kategorier ses i nedenstående skema: </w:t>
      </w:r>
    </w:p>
    <w:p w14:paraId="063C98A7" w14:textId="77777777" w:rsidR="00FF2D27" w:rsidRPr="00FF2D27" w:rsidRDefault="00FF2D27" w:rsidP="00FF2D2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975"/>
      </w:tblGrid>
      <w:tr w:rsidR="00FF2D27" w:rsidRPr="00FF2D27" w14:paraId="39217DC7" w14:textId="77777777" w:rsidTr="00FF2D27">
        <w:trPr>
          <w:trHeight w:val="270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DEEBF7"/>
            <w:hideMark/>
          </w:tcPr>
          <w:p w14:paraId="114C1A37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Typer af Historiebrug  </w:t>
            </w: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DEEBF7"/>
            <w:hideMark/>
          </w:tcPr>
          <w:p w14:paraId="2F966EB2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Funktion</w:t>
            </w: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FF2D27" w:rsidRPr="00FF2D27" w14:paraId="7F7DC590" w14:textId="77777777" w:rsidTr="00FF2D27">
        <w:trPr>
          <w:trHeight w:val="615"/>
        </w:trPr>
        <w:tc>
          <w:tcPr>
            <w:tcW w:w="264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54E31056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Identitetsdannende brug </w:t>
            </w:r>
          </w:p>
        </w:tc>
        <w:tc>
          <w:tcPr>
            <w:tcW w:w="69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25F6934D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danne jeg- eller vi-følelse hos individer, grupper, nationer (som fx offer, undertrykker, skurk, helt, hjælper, dansk, udansk)  </w:t>
            </w:r>
          </w:p>
        </w:tc>
      </w:tr>
      <w:tr w:rsidR="00FF2D27" w:rsidRPr="00FF2D27" w14:paraId="1CA6C379" w14:textId="77777777" w:rsidTr="00FF2D27">
        <w:trPr>
          <w:trHeight w:val="525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1711284A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Politisk 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084365D8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legitimere/delegitimere bestemte handlinger, ideologier, styreformer o.l. </w:t>
            </w:r>
          </w:p>
        </w:tc>
      </w:tr>
      <w:tr w:rsidR="00FF2D27" w:rsidRPr="00FF2D27" w14:paraId="4A484BBF" w14:textId="77777777" w:rsidTr="00FF2D27">
        <w:trPr>
          <w:trHeight w:val="525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44A5AEAE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Moralsk 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232B2C1E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rehabilitere, genopbygge, forsone, men også kritisere, ”håne” </w:t>
            </w:r>
          </w:p>
        </w:tc>
      </w:tr>
      <w:tr w:rsidR="00FF2D27" w:rsidRPr="00FF2D27" w14:paraId="73CBF2F5" w14:textId="77777777" w:rsidTr="00FF2D27">
        <w:trPr>
          <w:trHeight w:val="525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528EB7DA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Underholdende og kommerciel 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482FFB63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adsprede og fornøje, tjene penge </w:t>
            </w:r>
          </w:p>
        </w:tc>
      </w:tr>
      <w:tr w:rsidR="00FF2D27" w:rsidRPr="00FF2D27" w14:paraId="2236AC1E" w14:textId="77777777" w:rsidTr="00FF2D27">
        <w:trPr>
          <w:trHeight w:val="525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723493B7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Ikke-brug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6613D747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glemme eller bevidst fortrænge mhp. at legitimere/delegitimere/danne identitet  </w:t>
            </w:r>
          </w:p>
        </w:tc>
      </w:tr>
      <w:tr w:rsidR="00FF2D27" w:rsidRPr="00FF2D27" w14:paraId="67843B7B" w14:textId="77777777" w:rsidTr="00FF2D27">
        <w:trPr>
          <w:trHeight w:val="525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2675AEE7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Videnskabelig 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0BC389A5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at fortolke fortid med henblik på at informere/at analysere og vurdere brug af fortid ved hjælp af historiefagets metoder og teorier </w:t>
            </w:r>
          </w:p>
        </w:tc>
      </w:tr>
      <w:tr w:rsidR="00FF2D27" w:rsidRPr="00FF2D27" w14:paraId="4468B83A" w14:textId="77777777" w:rsidTr="00FF2D27">
        <w:trPr>
          <w:trHeight w:val="510"/>
        </w:trPr>
        <w:tc>
          <w:tcPr>
            <w:tcW w:w="2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56EAD4E5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Misbrug </w:t>
            </w:r>
          </w:p>
        </w:tc>
        <w:tc>
          <w:tcPr>
            <w:tcW w:w="6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EBF7"/>
            <w:hideMark/>
          </w:tcPr>
          <w:p w14:paraId="09F62EA9" w14:textId="77777777" w:rsidR="00FF2D27" w:rsidRPr="00FF2D27" w:rsidRDefault="00FF2D27" w:rsidP="00FF2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F2D27">
              <w:rPr>
                <w:rFonts w:ascii="Calibri" w:eastAsia="Times New Roman" w:hAnsi="Calibri" w:cs="Calibri"/>
                <w:color w:val="000000"/>
                <w:lang w:eastAsia="da-DK"/>
              </w:rPr>
              <w:t>Bevidst at fordreje/lyve om fortiden, ofte for at fremme ”ekstreme” politiske dagsordener </w:t>
            </w:r>
          </w:p>
        </w:tc>
      </w:tr>
    </w:tbl>
    <w:p w14:paraId="18F240DA" w14:textId="77777777" w:rsidR="00FF2D27" w:rsidRDefault="00FF2D27" w:rsidP="00FF2D27">
      <w:pPr>
        <w:spacing w:after="0" w:line="240" w:lineRule="auto"/>
        <w:textAlignment w:val="baseline"/>
        <w:rPr>
          <w:rFonts w:ascii="Calibri" w:eastAsia="Times New Roman" w:hAnsi="Calibri" w:cs="Calibri"/>
          <w:lang w:eastAsia="da-DK"/>
        </w:rPr>
      </w:pPr>
    </w:p>
    <w:p w14:paraId="007050B5" w14:textId="6B114F4E" w:rsidR="00FF2D27" w:rsidRPr="00FF2D27" w:rsidRDefault="00FF2D27" w:rsidP="00FF2D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FF2D27">
        <w:rPr>
          <w:rFonts w:ascii="Calibri" w:eastAsia="Times New Roman" w:hAnsi="Calibri" w:cs="Calibri"/>
          <w:lang w:eastAsia="da-DK"/>
        </w:rPr>
        <w:t>NB!!!! Det er vigtigt at huske, at man kun kan beskæftige sig meningsfuldt med historiebrug, hvis man har en grundlæggende historisk viden om den fortid, der fortolkes og bruges – ellers er det umuligt at give en kvalificeret, historiefaglig vurdering af den pågældende brug af historien. </w:t>
      </w:r>
    </w:p>
    <w:p w14:paraId="67A86E35" w14:textId="77777777" w:rsidR="00F21C73" w:rsidRDefault="00F21C73"/>
    <w:sectPr w:rsidR="00F21C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7"/>
    <w:rsid w:val="00391406"/>
    <w:rsid w:val="004775BF"/>
    <w:rsid w:val="004E412D"/>
    <w:rsid w:val="006B3138"/>
    <w:rsid w:val="008F1DC0"/>
    <w:rsid w:val="00E11ADE"/>
    <w:rsid w:val="00F21C7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DB6B"/>
  <w15:chartTrackingRefBased/>
  <w15:docId w15:val="{7A62CD4A-D2F9-4796-AADE-643E4C2D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F2D27"/>
  </w:style>
  <w:style w:type="character" w:customStyle="1" w:styleId="eop">
    <w:name w:val="eop"/>
    <w:basedOn w:val="Standardskrifttypeiafsnit"/>
    <w:rsid w:val="00FF2D27"/>
  </w:style>
  <w:style w:type="character" w:customStyle="1" w:styleId="spellingerror">
    <w:name w:val="spellingerror"/>
    <w:basedOn w:val="Standardskrifttypeiafsnit"/>
    <w:rsid w:val="00FF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7</cp:revision>
  <dcterms:created xsi:type="dcterms:W3CDTF">2022-11-16T10:27:00Z</dcterms:created>
  <dcterms:modified xsi:type="dcterms:W3CDTF">2023-12-04T07:47:00Z</dcterms:modified>
</cp:coreProperties>
</file>