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11" w:rsidRPr="00FD0B7E" w:rsidRDefault="00F64211" w:rsidP="00243B0C">
      <w:pPr>
        <w:spacing w:line="300" w:lineRule="atLeast"/>
        <w:rPr>
          <w:rFonts w:ascii="Arial" w:eastAsia="Times New Roman" w:hAnsi="Arial" w:cs="Arial"/>
          <w:sz w:val="32"/>
          <w:szCs w:val="32"/>
          <w:lang w:val="de-DE" w:eastAsia="da-DK"/>
        </w:rPr>
      </w:pPr>
      <w:bookmarkStart w:id="0" w:name="_GoBack"/>
      <w:bookmarkEnd w:id="0"/>
      <w:r w:rsidRPr="00FD0B7E">
        <w:rPr>
          <w:rFonts w:ascii="Arial" w:eastAsia="Times New Roman" w:hAnsi="Arial" w:cs="Arial"/>
          <w:b/>
          <w:sz w:val="32"/>
          <w:szCs w:val="32"/>
          <w:lang w:val="de-DE" w:eastAsia="da-DK"/>
        </w:rPr>
        <w:t>NAPOLA</w:t>
      </w:r>
    </w:p>
    <w:p w:rsidR="00F64211" w:rsidRPr="00FD0B7E" w:rsidRDefault="00F64211" w:rsidP="00F64211">
      <w:pPr>
        <w:spacing w:after="225" w:line="300" w:lineRule="atLeast"/>
        <w:rPr>
          <w:rFonts w:ascii="Arial" w:eastAsia="Times New Roman" w:hAnsi="Arial" w:cs="Arial"/>
          <w:sz w:val="20"/>
          <w:szCs w:val="20"/>
          <w:lang w:val="de-DE" w:eastAsia="da-DK"/>
        </w:rPr>
      </w:pPr>
      <w:proofErr w:type="spellStart"/>
      <w:r w:rsidRPr="00FD0B7E">
        <w:rPr>
          <w:rFonts w:ascii="Arial" w:eastAsia="Times New Roman" w:hAnsi="Arial" w:cs="Arial"/>
          <w:sz w:val="20"/>
          <w:szCs w:val="20"/>
          <w:lang w:val="de-DE" w:eastAsia="da-DK"/>
        </w:rPr>
        <w:t>Napola</w:t>
      </w:r>
      <w:proofErr w:type="spellEnd"/>
      <w:r w:rsidRPr="00FD0B7E">
        <w:rPr>
          <w:rFonts w:ascii="Arial" w:eastAsia="Times New Roman" w:hAnsi="Arial" w:cs="Arial"/>
          <w:sz w:val="20"/>
          <w:szCs w:val="20"/>
          <w:lang w:val="de-DE" w:eastAsia="da-DK"/>
        </w:rPr>
        <w:t xml:space="preserve"> ist eine Abkürzung</w:t>
      </w:r>
      <w:r w:rsidR="00FD0B7E">
        <w:rPr>
          <w:rStyle w:val="Fodnotehenvisning"/>
          <w:rFonts w:ascii="Arial" w:eastAsia="Times New Roman" w:hAnsi="Arial" w:cs="Arial"/>
          <w:sz w:val="20"/>
          <w:szCs w:val="20"/>
          <w:lang w:val="de-DE" w:eastAsia="da-DK"/>
        </w:rPr>
        <w:footnoteReference w:id="1"/>
      </w:r>
      <w:r w:rsidRPr="00FD0B7E">
        <w:rPr>
          <w:rFonts w:ascii="Arial" w:eastAsia="Times New Roman" w:hAnsi="Arial" w:cs="Arial"/>
          <w:sz w:val="20"/>
          <w:szCs w:val="20"/>
          <w:lang w:val="de-DE" w:eastAsia="da-DK"/>
        </w:rPr>
        <w:t xml:space="preserve"> für </w:t>
      </w:r>
      <w:r w:rsidRPr="00FD0B7E">
        <w:rPr>
          <w:rFonts w:ascii="Arial" w:eastAsia="Times New Roman" w:hAnsi="Arial" w:cs="Arial"/>
          <w:b/>
          <w:bCs/>
          <w:sz w:val="20"/>
          <w:szCs w:val="20"/>
          <w:lang w:val="de-DE" w:eastAsia="da-DK"/>
        </w:rPr>
        <w:t>Nationalpolitische Erziehungsanstalt</w:t>
      </w:r>
      <w:r w:rsidRPr="00FD0B7E">
        <w:rPr>
          <w:rFonts w:ascii="Arial" w:eastAsia="Times New Roman" w:hAnsi="Arial" w:cs="Arial"/>
          <w:sz w:val="20"/>
          <w:szCs w:val="20"/>
          <w:lang w:val="de-DE" w:eastAsia="da-DK"/>
        </w:rPr>
        <w:t>. Hierbei handelte es sich um Internate</w:t>
      </w:r>
      <w:r w:rsidR="00FD0B7E">
        <w:rPr>
          <w:rStyle w:val="Fodnotehenvisning"/>
          <w:rFonts w:ascii="Arial" w:eastAsia="Times New Roman" w:hAnsi="Arial" w:cs="Arial"/>
          <w:sz w:val="20"/>
          <w:szCs w:val="20"/>
          <w:lang w:val="de-DE" w:eastAsia="da-DK"/>
        </w:rPr>
        <w:footnoteReference w:id="2"/>
      </w:r>
      <w:r w:rsidRPr="00FD0B7E">
        <w:rPr>
          <w:rFonts w:ascii="Arial" w:eastAsia="Times New Roman" w:hAnsi="Arial" w:cs="Arial"/>
          <w:sz w:val="20"/>
          <w:szCs w:val="20"/>
          <w:lang w:val="de-DE" w:eastAsia="da-DK"/>
        </w:rPr>
        <w:t>, die die Nationalsozialisten schon kurz nach der Machtübernahme im Jahr 1933 eingerichtet hatten. Ihr Ziel war es, junge Menschen möglichst früh auf die nationalsozialistische Ideologie einzuschwören</w:t>
      </w:r>
      <w:r w:rsidR="00FD0B7E">
        <w:rPr>
          <w:rStyle w:val="Fodnotehenvisning"/>
          <w:rFonts w:ascii="Arial" w:eastAsia="Times New Roman" w:hAnsi="Arial" w:cs="Arial"/>
          <w:sz w:val="20"/>
          <w:szCs w:val="20"/>
          <w:lang w:val="de-DE" w:eastAsia="da-DK"/>
        </w:rPr>
        <w:footnoteReference w:id="3"/>
      </w:r>
      <w:r w:rsidRPr="00FD0B7E">
        <w:rPr>
          <w:rFonts w:ascii="Arial" w:eastAsia="Times New Roman" w:hAnsi="Arial" w:cs="Arial"/>
          <w:sz w:val="20"/>
          <w:szCs w:val="20"/>
          <w:lang w:val="de-DE" w:eastAsia="da-DK"/>
        </w:rPr>
        <w:t xml:space="preserve"> und im Sinne des Nationalsozialismus zu erziehen</w:t>
      </w:r>
      <w:r w:rsidR="00FD0B7E">
        <w:rPr>
          <w:rStyle w:val="Fodnotehenvisning"/>
          <w:rFonts w:ascii="Arial" w:eastAsia="Times New Roman" w:hAnsi="Arial" w:cs="Arial"/>
          <w:sz w:val="20"/>
          <w:szCs w:val="20"/>
          <w:lang w:val="de-DE" w:eastAsia="da-DK"/>
        </w:rPr>
        <w:footnoteReference w:id="4"/>
      </w:r>
      <w:r w:rsidRPr="00FD0B7E">
        <w:rPr>
          <w:rFonts w:ascii="Arial" w:eastAsia="Times New Roman" w:hAnsi="Arial" w:cs="Arial"/>
          <w:sz w:val="20"/>
          <w:szCs w:val="20"/>
          <w:lang w:val="de-DE" w:eastAsia="da-DK"/>
        </w:rPr>
        <w:t xml:space="preserve">. </w:t>
      </w:r>
    </w:p>
    <w:p w:rsidR="00F64211" w:rsidRPr="00FD0B7E" w:rsidRDefault="00F64211" w:rsidP="00F64211">
      <w:pPr>
        <w:spacing w:after="225" w:line="300" w:lineRule="atLeast"/>
        <w:rPr>
          <w:rFonts w:ascii="Arial" w:eastAsia="Times New Roman" w:hAnsi="Arial" w:cs="Arial"/>
          <w:sz w:val="20"/>
          <w:szCs w:val="20"/>
          <w:lang w:val="de-DE" w:eastAsia="da-DK"/>
        </w:rPr>
      </w:pPr>
      <w:r w:rsidRPr="00FD0B7E">
        <w:rPr>
          <w:rFonts w:ascii="Arial" w:eastAsia="Times New Roman" w:hAnsi="Arial" w:cs="Arial"/>
          <w:sz w:val="20"/>
          <w:szCs w:val="20"/>
          <w:lang w:val="de-DE" w:eastAsia="da-DK"/>
        </w:rPr>
        <w:t xml:space="preserve">In den </w:t>
      </w:r>
      <w:proofErr w:type="spellStart"/>
      <w:r w:rsidRPr="00FD0B7E">
        <w:rPr>
          <w:rFonts w:ascii="Arial" w:eastAsia="Times New Roman" w:hAnsi="Arial" w:cs="Arial"/>
          <w:sz w:val="20"/>
          <w:szCs w:val="20"/>
          <w:lang w:val="de-DE" w:eastAsia="da-DK"/>
        </w:rPr>
        <w:t>Napolas</w:t>
      </w:r>
      <w:proofErr w:type="spellEnd"/>
      <w:r w:rsidRPr="00FD0B7E">
        <w:rPr>
          <w:rFonts w:ascii="Arial" w:eastAsia="Times New Roman" w:hAnsi="Arial" w:cs="Arial"/>
          <w:sz w:val="20"/>
          <w:szCs w:val="20"/>
          <w:lang w:val="de-DE" w:eastAsia="da-DK"/>
        </w:rPr>
        <w:t xml:space="preserve"> sollte eine besondere Elite entstehen</w:t>
      </w:r>
      <w:r w:rsidR="00FD0B7E">
        <w:rPr>
          <w:rStyle w:val="Fodnotehenvisning"/>
          <w:rFonts w:ascii="Arial" w:eastAsia="Times New Roman" w:hAnsi="Arial" w:cs="Arial"/>
          <w:sz w:val="20"/>
          <w:szCs w:val="20"/>
          <w:lang w:val="de-DE" w:eastAsia="da-DK"/>
        </w:rPr>
        <w:footnoteReference w:id="5"/>
      </w:r>
      <w:r w:rsidRPr="00FD0B7E">
        <w:rPr>
          <w:rFonts w:ascii="Arial" w:eastAsia="Times New Roman" w:hAnsi="Arial" w:cs="Arial"/>
          <w:sz w:val="20"/>
          <w:szCs w:val="20"/>
          <w:lang w:val="de-DE" w:eastAsia="da-DK"/>
        </w:rPr>
        <w:t>, aus denen die Partei ihre Führer herausziehen wollte. Offiziell hießen diese Anstalten</w:t>
      </w:r>
      <w:r w:rsidRPr="00FD0B7E">
        <w:rPr>
          <w:rFonts w:ascii="Arial" w:eastAsia="Times New Roman" w:hAnsi="Arial" w:cs="Arial"/>
          <w:b/>
          <w:bCs/>
          <w:sz w:val="20"/>
          <w:szCs w:val="20"/>
          <w:lang w:val="de-DE" w:eastAsia="da-DK"/>
        </w:rPr>
        <w:t xml:space="preserve"> NPEA</w:t>
      </w:r>
      <w:r w:rsidRPr="00FD0B7E">
        <w:rPr>
          <w:rFonts w:ascii="Arial" w:eastAsia="Times New Roman" w:hAnsi="Arial" w:cs="Arial"/>
          <w:sz w:val="20"/>
          <w:szCs w:val="20"/>
          <w:lang w:val="de-DE" w:eastAsia="da-DK"/>
        </w:rPr>
        <w:t xml:space="preserve">, aber es setzte sich der Begriff </w:t>
      </w:r>
      <w:r w:rsidRPr="00FD0B7E">
        <w:rPr>
          <w:rFonts w:ascii="Arial" w:eastAsia="Times New Roman" w:hAnsi="Arial" w:cs="Arial"/>
          <w:b/>
          <w:bCs/>
          <w:i/>
          <w:iCs/>
          <w:sz w:val="20"/>
          <w:szCs w:val="20"/>
          <w:lang w:val="de-DE" w:eastAsia="da-DK"/>
        </w:rPr>
        <w:t>"</w:t>
      </w:r>
      <w:proofErr w:type="spellStart"/>
      <w:r w:rsidRPr="00FD0B7E">
        <w:rPr>
          <w:rFonts w:ascii="Arial" w:eastAsia="Times New Roman" w:hAnsi="Arial" w:cs="Arial"/>
          <w:b/>
          <w:bCs/>
          <w:i/>
          <w:iCs/>
          <w:sz w:val="20"/>
          <w:szCs w:val="20"/>
          <w:lang w:val="de-DE" w:eastAsia="da-DK"/>
        </w:rPr>
        <w:t>Napola</w:t>
      </w:r>
      <w:proofErr w:type="spellEnd"/>
      <w:r w:rsidRPr="00FD0B7E">
        <w:rPr>
          <w:rFonts w:ascii="Arial" w:eastAsia="Times New Roman" w:hAnsi="Arial" w:cs="Arial"/>
          <w:sz w:val="20"/>
          <w:szCs w:val="20"/>
          <w:lang w:val="de-DE" w:eastAsia="da-DK"/>
        </w:rPr>
        <w:t>" als Abkürzung durch.</w:t>
      </w:r>
      <w:r w:rsidRPr="00FD0B7E">
        <w:rPr>
          <w:rFonts w:ascii="Arial" w:eastAsia="Times New Roman" w:hAnsi="Arial" w:cs="Arial"/>
          <w:sz w:val="20"/>
          <w:szCs w:val="20"/>
          <w:lang w:val="de-DE" w:eastAsia="da-DK"/>
        </w:rPr>
        <w:br/>
      </w:r>
      <w:r w:rsidRPr="00FD0B7E">
        <w:rPr>
          <w:rFonts w:ascii="Arial" w:eastAsia="Times New Roman" w:hAnsi="Arial" w:cs="Arial"/>
          <w:sz w:val="20"/>
          <w:szCs w:val="20"/>
          <w:lang w:val="de-DE" w:eastAsia="da-DK"/>
        </w:rPr>
        <w:br/>
        <w:t xml:space="preserve">Die ersten drei </w:t>
      </w:r>
      <w:proofErr w:type="spellStart"/>
      <w:r w:rsidRPr="00FD0B7E">
        <w:rPr>
          <w:rFonts w:ascii="Arial" w:eastAsia="Times New Roman" w:hAnsi="Arial" w:cs="Arial"/>
          <w:sz w:val="20"/>
          <w:szCs w:val="20"/>
          <w:lang w:val="de-DE" w:eastAsia="da-DK"/>
        </w:rPr>
        <w:t>Napolas</w:t>
      </w:r>
      <w:proofErr w:type="spellEnd"/>
      <w:r w:rsidRPr="00FD0B7E">
        <w:rPr>
          <w:rFonts w:ascii="Arial" w:eastAsia="Times New Roman" w:hAnsi="Arial" w:cs="Arial"/>
          <w:sz w:val="20"/>
          <w:szCs w:val="20"/>
          <w:lang w:val="de-DE" w:eastAsia="da-DK"/>
        </w:rPr>
        <w:t xml:space="preserve"> wurden am 20. April 1933, am Geburtstag von Adolf Hitler, gegründet. Am Ende des Krieges gab es 43 </w:t>
      </w:r>
      <w:proofErr w:type="spellStart"/>
      <w:r w:rsidRPr="00FD0B7E">
        <w:rPr>
          <w:rFonts w:ascii="Arial" w:eastAsia="Times New Roman" w:hAnsi="Arial" w:cs="Arial"/>
          <w:sz w:val="20"/>
          <w:szCs w:val="20"/>
          <w:lang w:val="de-DE" w:eastAsia="da-DK"/>
        </w:rPr>
        <w:t>Napolas</w:t>
      </w:r>
      <w:proofErr w:type="spellEnd"/>
      <w:r w:rsidRPr="00FD0B7E">
        <w:rPr>
          <w:rFonts w:ascii="Arial" w:eastAsia="Times New Roman" w:hAnsi="Arial" w:cs="Arial"/>
          <w:sz w:val="20"/>
          <w:szCs w:val="20"/>
          <w:lang w:val="de-DE" w:eastAsia="da-DK"/>
        </w:rPr>
        <w:t xml:space="preserve">, in dreien wurden auch Mädchen erzogen. </w:t>
      </w:r>
    </w:p>
    <w:p w:rsidR="00F64211" w:rsidRPr="00FD0B7E" w:rsidRDefault="00F64211" w:rsidP="00F64211">
      <w:pPr>
        <w:spacing w:after="75" w:line="300" w:lineRule="atLeast"/>
        <w:outlineLvl w:val="1"/>
        <w:rPr>
          <w:rFonts w:ascii="Arial" w:eastAsia="Times New Roman" w:hAnsi="Arial" w:cs="Arial"/>
          <w:b/>
          <w:bCs/>
          <w:color w:val="444444"/>
          <w:sz w:val="20"/>
          <w:szCs w:val="20"/>
          <w:lang w:val="de-DE" w:eastAsia="da-DK"/>
        </w:rPr>
      </w:pPr>
      <w:r w:rsidRPr="00FD0B7E">
        <w:rPr>
          <w:rFonts w:ascii="Arial" w:eastAsia="Times New Roman" w:hAnsi="Arial" w:cs="Arial"/>
          <w:b/>
          <w:bCs/>
          <w:color w:val="444444"/>
          <w:sz w:val="20"/>
          <w:szCs w:val="20"/>
          <w:lang w:val="de-DE" w:eastAsia="da-DK"/>
        </w:rPr>
        <w:t xml:space="preserve">Wer wurde in die </w:t>
      </w:r>
      <w:proofErr w:type="spellStart"/>
      <w:r w:rsidRPr="00FD0B7E">
        <w:rPr>
          <w:rFonts w:ascii="Arial" w:eastAsia="Times New Roman" w:hAnsi="Arial" w:cs="Arial"/>
          <w:b/>
          <w:bCs/>
          <w:color w:val="444444"/>
          <w:sz w:val="20"/>
          <w:szCs w:val="20"/>
          <w:lang w:val="de-DE" w:eastAsia="da-DK"/>
        </w:rPr>
        <w:t>Napolas</w:t>
      </w:r>
      <w:proofErr w:type="spellEnd"/>
      <w:r w:rsidRPr="00FD0B7E">
        <w:rPr>
          <w:rFonts w:ascii="Arial" w:eastAsia="Times New Roman" w:hAnsi="Arial" w:cs="Arial"/>
          <w:b/>
          <w:bCs/>
          <w:color w:val="444444"/>
          <w:sz w:val="20"/>
          <w:szCs w:val="20"/>
          <w:lang w:val="de-DE" w:eastAsia="da-DK"/>
        </w:rPr>
        <w:t xml:space="preserve"> aufgenommen</w:t>
      </w:r>
      <w:r w:rsidR="00765971">
        <w:rPr>
          <w:rStyle w:val="Fodnotehenvisning"/>
          <w:rFonts w:ascii="Arial" w:eastAsia="Times New Roman" w:hAnsi="Arial" w:cs="Arial"/>
          <w:b/>
          <w:bCs/>
          <w:color w:val="444444"/>
          <w:sz w:val="20"/>
          <w:szCs w:val="20"/>
          <w:lang w:val="de-DE" w:eastAsia="da-DK"/>
        </w:rPr>
        <w:footnoteReference w:id="6"/>
      </w:r>
      <w:r w:rsidRPr="00FD0B7E">
        <w:rPr>
          <w:rFonts w:ascii="Arial" w:eastAsia="Times New Roman" w:hAnsi="Arial" w:cs="Arial"/>
          <w:b/>
          <w:bCs/>
          <w:color w:val="444444"/>
          <w:sz w:val="20"/>
          <w:szCs w:val="20"/>
          <w:lang w:val="de-DE" w:eastAsia="da-DK"/>
        </w:rPr>
        <w:t>?</w:t>
      </w:r>
    </w:p>
    <w:p w:rsidR="00F64211" w:rsidRPr="00FD0B7E" w:rsidRDefault="00F64211" w:rsidP="00F64211">
      <w:pPr>
        <w:pStyle w:val="bodytext"/>
        <w:spacing w:line="300" w:lineRule="atLeast"/>
        <w:rPr>
          <w:rFonts w:ascii="Arial" w:hAnsi="Arial" w:cs="Arial"/>
          <w:sz w:val="20"/>
          <w:szCs w:val="20"/>
          <w:lang w:val="de-DE"/>
        </w:rPr>
      </w:pPr>
      <w:r w:rsidRPr="00FD0B7E">
        <w:rPr>
          <w:rFonts w:ascii="Arial" w:hAnsi="Arial" w:cs="Arial"/>
          <w:sz w:val="20"/>
          <w:szCs w:val="20"/>
          <w:lang w:val="de-DE"/>
        </w:rPr>
        <w:t xml:space="preserve">Die Plätze in einer der </w:t>
      </w:r>
      <w:proofErr w:type="spellStart"/>
      <w:r w:rsidRPr="00FD0B7E">
        <w:rPr>
          <w:rFonts w:ascii="Arial" w:hAnsi="Arial" w:cs="Arial"/>
          <w:sz w:val="20"/>
          <w:szCs w:val="20"/>
          <w:lang w:val="de-DE"/>
        </w:rPr>
        <w:t>Napolas</w:t>
      </w:r>
      <w:proofErr w:type="spellEnd"/>
      <w:r w:rsidRPr="00FD0B7E">
        <w:rPr>
          <w:rFonts w:ascii="Arial" w:hAnsi="Arial" w:cs="Arial"/>
          <w:sz w:val="20"/>
          <w:szCs w:val="20"/>
          <w:lang w:val="de-DE"/>
        </w:rPr>
        <w:t xml:space="preserve"> waren begehrt</w:t>
      </w:r>
      <w:r w:rsidR="00FD0B7E">
        <w:rPr>
          <w:rStyle w:val="Fodnotehenvisning"/>
          <w:rFonts w:ascii="Arial" w:hAnsi="Arial" w:cs="Arial"/>
          <w:sz w:val="20"/>
          <w:szCs w:val="20"/>
          <w:lang w:val="de-DE"/>
        </w:rPr>
        <w:footnoteReference w:id="7"/>
      </w:r>
      <w:r w:rsidRPr="00FD0B7E">
        <w:rPr>
          <w:rFonts w:ascii="Arial" w:hAnsi="Arial" w:cs="Arial"/>
          <w:sz w:val="20"/>
          <w:szCs w:val="20"/>
          <w:lang w:val="de-DE"/>
        </w:rPr>
        <w:t>. Die Bewerber</w:t>
      </w:r>
      <w:r w:rsidR="00FD0B7E">
        <w:rPr>
          <w:rStyle w:val="Fodnotehenvisning"/>
          <w:rFonts w:ascii="Arial" w:hAnsi="Arial" w:cs="Arial"/>
          <w:sz w:val="20"/>
          <w:szCs w:val="20"/>
          <w:lang w:val="de-DE"/>
        </w:rPr>
        <w:footnoteReference w:id="8"/>
      </w:r>
      <w:r w:rsidRPr="00FD0B7E">
        <w:rPr>
          <w:rFonts w:ascii="Arial" w:hAnsi="Arial" w:cs="Arial"/>
          <w:sz w:val="20"/>
          <w:szCs w:val="20"/>
          <w:lang w:val="de-DE"/>
        </w:rPr>
        <w:t xml:space="preserve"> mussten sich schwierigen Aufnahmeprüfungen unterziehen und nur sehr wenige wurden schließlich aufgenommen. Eines der Kriterien war die </w:t>
      </w:r>
      <w:r w:rsidRPr="00FD0B7E">
        <w:rPr>
          <w:rFonts w:ascii="Arial" w:hAnsi="Arial" w:cs="Arial"/>
          <w:b/>
          <w:bCs/>
          <w:i/>
          <w:iCs/>
          <w:sz w:val="20"/>
          <w:szCs w:val="20"/>
          <w:lang w:val="de-DE"/>
        </w:rPr>
        <w:t>"Rassische Eignung"</w:t>
      </w:r>
      <w:r w:rsidRPr="00FD0B7E">
        <w:rPr>
          <w:rFonts w:ascii="Arial" w:hAnsi="Arial" w:cs="Arial"/>
          <w:sz w:val="20"/>
          <w:szCs w:val="20"/>
          <w:lang w:val="de-DE"/>
        </w:rPr>
        <w:t>.</w:t>
      </w:r>
      <w:r w:rsidR="00FD0B7E">
        <w:rPr>
          <w:rStyle w:val="Fodnotehenvisning"/>
          <w:rFonts w:ascii="Arial" w:hAnsi="Arial" w:cs="Arial"/>
          <w:sz w:val="20"/>
          <w:szCs w:val="20"/>
          <w:lang w:val="de-DE"/>
        </w:rPr>
        <w:footnoteReference w:id="9"/>
      </w:r>
      <w:r w:rsidRPr="00FD0B7E">
        <w:rPr>
          <w:rFonts w:ascii="Arial" w:hAnsi="Arial" w:cs="Arial"/>
          <w:sz w:val="20"/>
          <w:szCs w:val="20"/>
          <w:lang w:val="de-DE"/>
        </w:rPr>
        <w:t xml:space="preserve"> Nur Arier wurden ausgewählt, Brillenträger hatten schon keine Chance, körperlich fit mussten die Bewerber auch sein. Auswahlkriterium war die körperliche Leistung und weniger die Intelligenz, wahrscheinlich stand die einer Aufnahme eher im Wege. Die meisten Schüler stammten übrigens aus Beamtenfamilien</w:t>
      </w:r>
      <w:r w:rsidR="00FD0B7E">
        <w:rPr>
          <w:rStyle w:val="Fodnotehenvisning"/>
          <w:rFonts w:ascii="Arial" w:hAnsi="Arial" w:cs="Arial"/>
          <w:sz w:val="20"/>
          <w:szCs w:val="20"/>
          <w:lang w:val="de-DE"/>
        </w:rPr>
        <w:footnoteReference w:id="10"/>
      </w:r>
      <w:r w:rsidRPr="00FD0B7E">
        <w:rPr>
          <w:rFonts w:ascii="Arial" w:hAnsi="Arial" w:cs="Arial"/>
          <w:sz w:val="20"/>
          <w:szCs w:val="20"/>
          <w:lang w:val="de-DE"/>
        </w:rPr>
        <w:t xml:space="preserve"> oder auch aus Familien von Selbstständigen. Die Idee, möglichst vielen Arbeiterkindern einen Platz zu verschaffen, wurde nicht in die Tat umgesetzt, auch wenn man das so erst mal behauptete. </w:t>
      </w:r>
    </w:p>
    <w:p w:rsidR="00F64211" w:rsidRPr="00FD0B7E" w:rsidRDefault="00F64211" w:rsidP="00F64211">
      <w:pPr>
        <w:spacing w:after="75" w:line="300" w:lineRule="atLeast"/>
        <w:outlineLvl w:val="1"/>
        <w:rPr>
          <w:rFonts w:ascii="Arial" w:eastAsia="Times New Roman" w:hAnsi="Arial" w:cs="Arial"/>
          <w:b/>
          <w:bCs/>
          <w:color w:val="444444"/>
          <w:sz w:val="20"/>
          <w:szCs w:val="20"/>
          <w:lang w:val="de-DE" w:eastAsia="da-DK"/>
        </w:rPr>
      </w:pPr>
      <w:r w:rsidRPr="00FD0B7E">
        <w:rPr>
          <w:rFonts w:ascii="Arial" w:eastAsia="Times New Roman" w:hAnsi="Arial" w:cs="Arial"/>
          <w:b/>
          <w:bCs/>
          <w:color w:val="444444"/>
          <w:sz w:val="20"/>
          <w:szCs w:val="20"/>
          <w:lang w:val="de-DE" w:eastAsia="da-DK"/>
        </w:rPr>
        <w:t xml:space="preserve">Was wurde an den </w:t>
      </w:r>
      <w:proofErr w:type="spellStart"/>
      <w:r w:rsidRPr="00FD0B7E">
        <w:rPr>
          <w:rFonts w:ascii="Arial" w:eastAsia="Times New Roman" w:hAnsi="Arial" w:cs="Arial"/>
          <w:b/>
          <w:bCs/>
          <w:color w:val="444444"/>
          <w:sz w:val="20"/>
          <w:szCs w:val="20"/>
          <w:lang w:val="de-DE" w:eastAsia="da-DK"/>
        </w:rPr>
        <w:t>Napolas</w:t>
      </w:r>
      <w:proofErr w:type="spellEnd"/>
      <w:r w:rsidRPr="00FD0B7E">
        <w:rPr>
          <w:rFonts w:ascii="Arial" w:eastAsia="Times New Roman" w:hAnsi="Arial" w:cs="Arial"/>
          <w:b/>
          <w:bCs/>
          <w:color w:val="444444"/>
          <w:sz w:val="20"/>
          <w:szCs w:val="20"/>
          <w:lang w:val="de-DE" w:eastAsia="da-DK"/>
        </w:rPr>
        <w:t xml:space="preserve"> unterrichtet?</w:t>
      </w:r>
    </w:p>
    <w:p w:rsidR="00F64211" w:rsidRPr="00FD0B7E" w:rsidRDefault="00F64211" w:rsidP="00F64211">
      <w:pPr>
        <w:spacing w:after="225" w:line="300" w:lineRule="atLeast"/>
        <w:rPr>
          <w:rFonts w:ascii="Arial" w:eastAsia="Times New Roman" w:hAnsi="Arial" w:cs="Arial"/>
          <w:sz w:val="20"/>
          <w:szCs w:val="20"/>
          <w:lang w:val="de-DE" w:eastAsia="da-DK"/>
        </w:rPr>
      </w:pPr>
      <w:r w:rsidRPr="00FD0B7E">
        <w:rPr>
          <w:rFonts w:ascii="Arial" w:eastAsia="Times New Roman" w:hAnsi="Arial" w:cs="Arial"/>
          <w:sz w:val="20"/>
          <w:szCs w:val="20"/>
          <w:lang w:val="de-DE" w:eastAsia="da-DK"/>
        </w:rPr>
        <w:t>Auf die klassische humanistische Bildung</w:t>
      </w:r>
      <w:r w:rsidR="00FD0B7E">
        <w:rPr>
          <w:rStyle w:val="Fodnotehenvisning"/>
          <w:rFonts w:ascii="Arial" w:eastAsia="Times New Roman" w:hAnsi="Arial" w:cs="Arial"/>
          <w:sz w:val="20"/>
          <w:szCs w:val="20"/>
          <w:lang w:val="de-DE" w:eastAsia="da-DK"/>
        </w:rPr>
        <w:footnoteReference w:id="11"/>
      </w:r>
      <w:r w:rsidRPr="00FD0B7E">
        <w:rPr>
          <w:rFonts w:ascii="Arial" w:eastAsia="Times New Roman" w:hAnsi="Arial" w:cs="Arial"/>
          <w:sz w:val="20"/>
          <w:szCs w:val="20"/>
          <w:lang w:val="de-DE" w:eastAsia="da-DK"/>
        </w:rPr>
        <w:t xml:space="preserve"> mit Latein und Griechisch verzichtete</w:t>
      </w:r>
      <w:r w:rsidR="00FD0B7E">
        <w:rPr>
          <w:rStyle w:val="Fodnotehenvisning"/>
          <w:rFonts w:ascii="Arial" w:eastAsia="Times New Roman" w:hAnsi="Arial" w:cs="Arial"/>
          <w:sz w:val="20"/>
          <w:szCs w:val="20"/>
          <w:lang w:val="de-DE" w:eastAsia="da-DK"/>
        </w:rPr>
        <w:footnoteReference w:id="12"/>
      </w:r>
      <w:r w:rsidRPr="00FD0B7E">
        <w:rPr>
          <w:rFonts w:ascii="Arial" w:eastAsia="Times New Roman" w:hAnsi="Arial" w:cs="Arial"/>
          <w:sz w:val="20"/>
          <w:szCs w:val="20"/>
          <w:lang w:val="de-DE" w:eastAsia="da-DK"/>
        </w:rPr>
        <w:t xml:space="preserve"> man in den </w:t>
      </w:r>
      <w:proofErr w:type="spellStart"/>
      <w:r w:rsidRPr="00FD0B7E">
        <w:rPr>
          <w:rFonts w:ascii="Arial" w:eastAsia="Times New Roman" w:hAnsi="Arial" w:cs="Arial"/>
          <w:sz w:val="20"/>
          <w:szCs w:val="20"/>
          <w:lang w:val="de-DE" w:eastAsia="da-DK"/>
        </w:rPr>
        <w:t>Napolas</w:t>
      </w:r>
      <w:proofErr w:type="spellEnd"/>
      <w:r w:rsidRPr="00FD0B7E">
        <w:rPr>
          <w:rFonts w:ascii="Arial" w:eastAsia="Times New Roman" w:hAnsi="Arial" w:cs="Arial"/>
          <w:sz w:val="20"/>
          <w:szCs w:val="20"/>
          <w:lang w:val="de-DE" w:eastAsia="da-DK"/>
        </w:rPr>
        <w:t xml:space="preserve">. An deren Stelle trat der </w:t>
      </w:r>
      <w:r w:rsidRPr="00FD0B7E">
        <w:rPr>
          <w:rFonts w:ascii="Arial" w:eastAsia="Times New Roman" w:hAnsi="Arial" w:cs="Arial"/>
          <w:b/>
          <w:bCs/>
          <w:sz w:val="20"/>
          <w:szCs w:val="20"/>
          <w:lang w:val="de-DE" w:eastAsia="da-DK"/>
        </w:rPr>
        <w:t>Sport</w:t>
      </w:r>
      <w:r w:rsidRPr="00FD0B7E">
        <w:rPr>
          <w:rFonts w:ascii="Arial" w:eastAsia="Times New Roman" w:hAnsi="Arial" w:cs="Arial"/>
          <w:sz w:val="20"/>
          <w:szCs w:val="20"/>
          <w:lang w:val="de-DE" w:eastAsia="da-DK"/>
        </w:rPr>
        <w:t xml:space="preserve">. Wichtig war auch die </w:t>
      </w:r>
      <w:r w:rsidRPr="00FD0B7E">
        <w:rPr>
          <w:rFonts w:ascii="Arial" w:eastAsia="Times New Roman" w:hAnsi="Arial" w:cs="Arial"/>
          <w:b/>
          <w:bCs/>
          <w:sz w:val="20"/>
          <w:szCs w:val="20"/>
          <w:lang w:val="de-DE" w:eastAsia="da-DK"/>
        </w:rPr>
        <w:t>Rassenkunde</w:t>
      </w:r>
      <w:r w:rsidRPr="00FD0B7E">
        <w:rPr>
          <w:rFonts w:ascii="Arial" w:eastAsia="Times New Roman" w:hAnsi="Arial" w:cs="Arial"/>
          <w:sz w:val="20"/>
          <w:szCs w:val="20"/>
          <w:lang w:val="de-DE" w:eastAsia="da-DK"/>
        </w:rPr>
        <w:t xml:space="preserve">. Acht "Züge" mussten die Schüler durchlaufen, was acht Klassenstufen entsprach, und dabei Uniform tragen. Das fanden viele Jungen klasse. Außerdem konnte man zum Gruppen- und Zugführer aufsteigen, die </w:t>
      </w:r>
      <w:proofErr w:type="spellStart"/>
      <w:r w:rsidRPr="00FD0B7E">
        <w:rPr>
          <w:rFonts w:ascii="Arial" w:eastAsia="Times New Roman" w:hAnsi="Arial" w:cs="Arial"/>
          <w:sz w:val="20"/>
          <w:szCs w:val="20"/>
          <w:lang w:val="de-DE" w:eastAsia="da-DK"/>
        </w:rPr>
        <w:t>Napolas</w:t>
      </w:r>
      <w:proofErr w:type="spellEnd"/>
      <w:r w:rsidRPr="00FD0B7E">
        <w:rPr>
          <w:rFonts w:ascii="Arial" w:eastAsia="Times New Roman" w:hAnsi="Arial" w:cs="Arial"/>
          <w:sz w:val="20"/>
          <w:szCs w:val="20"/>
          <w:lang w:val="de-DE" w:eastAsia="da-DK"/>
        </w:rPr>
        <w:t xml:space="preserve"> hatten eine strenge Gliederung</w:t>
      </w:r>
      <w:r w:rsidR="00FD0B7E">
        <w:rPr>
          <w:rStyle w:val="Fodnotehenvisning"/>
          <w:rFonts w:ascii="Arial" w:eastAsia="Times New Roman" w:hAnsi="Arial" w:cs="Arial"/>
          <w:sz w:val="20"/>
          <w:szCs w:val="20"/>
          <w:lang w:val="de-DE" w:eastAsia="da-DK"/>
        </w:rPr>
        <w:footnoteReference w:id="13"/>
      </w:r>
      <w:r w:rsidRPr="00FD0B7E">
        <w:rPr>
          <w:rFonts w:ascii="Arial" w:eastAsia="Times New Roman" w:hAnsi="Arial" w:cs="Arial"/>
          <w:sz w:val="20"/>
          <w:szCs w:val="20"/>
          <w:lang w:val="de-DE" w:eastAsia="da-DK"/>
        </w:rPr>
        <w:t xml:space="preserve">. </w:t>
      </w:r>
      <w:r w:rsidRPr="00FD0B7E">
        <w:rPr>
          <w:rFonts w:ascii="Arial" w:eastAsia="Times New Roman" w:hAnsi="Arial" w:cs="Arial"/>
          <w:sz w:val="20"/>
          <w:szCs w:val="20"/>
          <w:lang w:val="de-DE" w:eastAsia="da-DK"/>
        </w:rPr>
        <w:br/>
      </w:r>
      <w:r w:rsidRPr="00FD0B7E">
        <w:rPr>
          <w:rFonts w:ascii="Arial" w:eastAsia="Times New Roman" w:hAnsi="Arial" w:cs="Arial"/>
          <w:sz w:val="20"/>
          <w:szCs w:val="20"/>
          <w:lang w:val="de-DE" w:eastAsia="da-DK"/>
        </w:rPr>
        <w:br/>
        <w:t xml:space="preserve">Religionsunterricht gab es ab 1938 keinen mehr. Auch auf Fremdsprachenunterricht verzichtete man. Sollten die anderen doch Deutsch lernen, das war die gängige Vorstellung. Die Schüler der </w:t>
      </w:r>
      <w:proofErr w:type="spellStart"/>
      <w:r w:rsidRPr="00FD0B7E">
        <w:rPr>
          <w:rFonts w:ascii="Arial" w:eastAsia="Times New Roman" w:hAnsi="Arial" w:cs="Arial"/>
          <w:sz w:val="20"/>
          <w:szCs w:val="20"/>
          <w:lang w:val="de-DE" w:eastAsia="da-DK"/>
        </w:rPr>
        <w:t>Napolas</w:t>
      </w:r>
      <w:proofErr w:type="spellEnd"/>
      <w:r w:rsidRPr="00FD0B7E">
        <w:rPr>
          <w:rFonts w:ascii="Arial" w:eastAsia="Times New Roman" w:hAnsi="Arial" w:cs="Arial"/>
          <w:sz w:val="20"/>
          <w:szCs w:val="20"/>
          <w:lang w:val="de-DE" w:eastAsia="da-DK"/>
        </w:rPr>
        <w:t xml:space="preserve"> mussten marschieren, Sport  wie Handball, Schwimmen, Boxen und Rudern treiben</w:t>
      </w:r>
      <w:r w:rsidR="00FD0B7E">
        <w:rPr>
          <w:rStyle w:val="Fodnotehenvisning"/>
          <w:rFonts w:ascii="Arial" w:eastAsia="Times New Roman" w:hAnsi="Arial" w:cs="Arial"/>
          <w:sz w:val="20"/>
          <w:szCs w:val="20"/>
          <w:lang w:val="de-DE" w:eastAsia="da-DK"/>
        </w:rPr>
        <w:footnoteReference w:id="14"/>
      </w:r>
      <w:r w:rsidRPr="00FD0B7E">
        <w:rPr>
          <w:rFonts w:ascii="Arial" w:eastAsia="Times New Roman" w:hAnsi="Arial" w:cs="Arial"/>
          <w:sz w:val="20"/>
          <w:szCs w:val="20"/>
          <w:lang w:val="de-DE" w:eastAsia="da-DK"/>
        </w:rPr>
        <w:t>. Geländemärsche</w:t>
      </w:r>
      <w:r w:rsidR="00FD0B7E">
        <w:rPr>
          <w:rStyle w:val="Fodnotehenvisning"/>
          <w:rFonts w:ascii="Arial" w:eastAsia="Times New Roman" w:hAnsi="Arial" w:cs="Arial"/>
          <w:sz w:val="20"/>
          <w:szCs w:val="20"/>
          <w:lang w:val="de-DE" w:eastAsia="da-DK"/>
        </w:rPr>
        <w:footnoteReference w:id="15"/>
      </w:r>
      <w:r w:rsidRPr="00FD0B7E">
        <w:rPr>
          <w:rFonts w:ascii="Arial" w:eastAsia="Times New Roman" w:hAnsi="Arial" w:cs="Arial"/>
          <w:sz w:val="20"/>
          <w:szCs w:val="20"/>
          <w:lang w:val="de-DE" w:eastAsia="da-DK"/>
        </w:rPr>
        <w:t xml:space="preserve"> und Geländesport im Wald standen ebenfalls auf dem Programm. Die Schüler unternahmen auch Ausflüge, feierten die Sonnwende</w:t>
      </w:r>
      <w:r w:rsidR="00FD0B7E">
        <w:rPr>
          <w:rStyle w:val="Fodnotehenvisning"/>
          <w:rFonts w:ascii="Arial" w:eastAsia="Times New Roman" w:hAnsi="Arial" w:cs="Arial"/>
          <w:sz w:val="20"/>
          <w:szCs w:val="20"/>
          <w:lang w:val="de-DE" w:eastAsia="da-DK"/>
        </w:rPr>
        <w:footnoteReference w:id="16"/>
      </w:r>
      <w:r w:rsidRPr="00FD0B7E">
        <w:rPr>
          <w:rFonts w:ascii="Arial" w:eastAsia="Times New Roman" w:hAnsi="Arial" w:cs="Arial"/>
          <w:sz w:val="20"/>
          <w:szCs w:val="20"/>
          <w:lang w:val="de-DE" w:eastAsia="da-DK"/>
        </w:rPr>
        <w:t xml:space="preserve"> und hielten Übungen in der Nacht ab. So mancher mag das als spannendes Spiel </w:t>
      </w:r>
      <w:r w:rsidRPr="00FD0B7E">
        <w:rPr>
          <w:rFonts w:ascii="Arial" w:eastAsia="Times New Roman" w:hAnsi="Arial" w:cs="Arial"/>
          <w:sz w:val="20"/>
          <w:szCs w:val="20"/>
          <w:lang w:val="de-DE" w:eastAsia="da-DK"/>
        </w:rPr>
        <w:lastRenderedPageBreak/>
        <w:t xml:space="preserve">verstanden haben. Der Kameradschaftsgeist wurde hoch gehalten, sodass viele </w:t>
      </w:r>
      <w:proofErr w:type="spellStart"/>
      <w:r w:rsidRPr="00FD0B7E">
        <w:rPr>
          <w:rFonts w:ascii="Arial" w:eastAsia="Times New Roman" w:hAnsi="Arial" w:cs="Arial"/>
          <w:sz w:val="20"/>
          <w:szCs w:val="20"/>
          <w:lang w:val="de-DE" w:eastAsia="da-DK"/>
        </w:rPr>
        <w:t>Napola</w:t>
      </w:r>
      <w:proofErr w:type="spellEnd"/>
      <w:r w:rsidRPr="00FD0B7E">
        <w:rPr>
          <w:rFonts w:ascii="Arial" w:eastAsia="Times New Roman" w:hAnsi="Arial" w:cs="Arial"/>
          <w:sz w:val="20"/>
          <w:szCs w:val="20"/>
          <w:lang w:val="de-DE" w:eastAsia="da-DK"/>
        </w:rPr>
        <w:t xml:space="preserve">-Schüler begeistert mitmachten. </w:t>
      </w:r>
    </w:p>
    <w:p w:rsidR="00C53DCD" w:rsidRPr="00FD0B7E" w:rsidRDefault="00F64211" w:rsidP="00F64211">
      <w:pPr>
        <w:spacing w:after="225" w:line="300" w:lineRule="atLeast"/>
        <w:rPr>
          <w:rFonts w:ascii="Arial" w:hAnsi="Arial" w:cs="Arial"/>
          <w:sz w:val="20"/>
          <w:szCs w:val="20"/>
          <w:lang w:val="de-DE"/>
        </w:rPr>
      </w:pPr>
      <w:r w:rsidRPr="00FD0B7E">
        <w:rPr>
          <w:rFonts w:ascii="Arial" w:hAnsi="Arial" w:cs="Arial"/>
          <w:sz w:val="20"/>
          <w:szCs w:val="20"/>
          <w:lang w:val="de-DE"/>
        </w:rPr>
        <w:t>Jedenfalls wurden alle  im Sinne der Nationalsozialisten erzogen. Nur wenige Schüler kamen auf die Idee, die Schulinhalte zu hinterfragen</w:t>
      </w:r>
      <w:r w:rsidR="00FD0B7E">
        <w:rPr>
          <w:rStyle w:val="Fodnotehenvisning"/>
          <w:rFonts w:ascii="Arial" w:hAnsi="Arial" w:cs="Arial"/>
          <w:sz w:val="20"/>
          <w:szCs w:val="20"/>
          <w:lang w:val="de-DE"/>
        </w:rPr>
        <w:footnoteReference w:id="17"/>
      </w:r>
    </w:p>
    <w:tbl>
      <w:tblPr>
        <w:tblStyle w:val="Tabel-Gitter"/>
        <w:tblW w:w="0" w:type="auto"/>
        <w:tblLook w:val="04A0" w:firstRow="1" w:lastRow="0" w:firstColumn="1" w:lastColumn="0" w:noHBand="0" w:noVBand="1"/>
      </w:tblPr>
      <w:tblGrid>
        <w:gridCol w:w="3390"/>
        <w:gridCol w:w="2698"/>
        <w:gridCol w:w="3766"/>
      </w:tblGrid>
      <w:tr w:rsidR="00F64211" w:rsidTr="00F64211">
        <w:tc>
          <w:tcPr>
            <w:tcW w:w="3259" w:type="dxa"/>
          </w:tcPr>
          <w:p w:rsidR="00F64211" w:rsidRDefault="00F64211">
            <w:r>
              <w:rPr>
                <w:noProof/>
                <w:color w:val="0000FF"/>
                <w:lang w:eastAsia="da-DK"/>
              </w:rPr>
              <w:drawing>
                <wp:inline distT="0" distB="0" distL="0" distR="0" wp14:anchorId="095BA8E9" wp14:editId="3469E99E">
                  <wp:extent cx="2095500" cy="1657350"/>
                  <wp:effectExtent l="0" t="0" r="0" b="0"/>
                  <wp:docPr id="1" name="irc_mi" descr="https://upload.wikimedia.org/wikipedia/commons/thumb/8/85/Bundesarchiv_Bild_146-1978-013-07,_Nationalpolitische_Erziehungsanstalt.jpg/220px-Bundesarchiv_Bild_146-1978-013-07,_Nationalpolitische_Erziehungsanstal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8/85/Bundesarchiv_Bild_146-1978-013-07,_Nationalpolitische_Erziehungsanstalt.jpg/220px-Bundesarchiv_Bild_146-1978-013-07,_Nationalpolitische_Erziehungsanstalt.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657350"/>
                          </a:xfrm>
                          <a:prstGeom prst="rect">
                            <a:avLst/>
                          </a:prstGeom>
                          <a:noFill/>
                          <a:ln>
                            <a:noFill/>
                          </a:ln>
                        </pic:spPr>
                      </pic:pic>
                    </a:graphicData>
                  </a:graphic>
                </wp:inline>
              </w:drawing>
            </w:r>
          </w:p>
        </w:tc>
        <w:tc>
          <w:tcPr>
            <w:tcW w:w="3259" w:type="dxa"/>
          </w:tcPr>
          <w:p w:rsidR="00F64211" w:rsidRDefault="00F64211">
            <w:r>
              <w:rPr>
                <w:rFonts w:ascii="Arial" w:hAnsi="Arial" w:cs="Arial"/>
                <w:noProof/>
                <w:sz w:val="18"/>
                <w:szCs w:val="18"/>
                <w:lang w:eastAsia="da-DK"/>
              </w:rPr>
              <w:drawing>
                <wp:inline distT="0" distB="0" distL="0" distR="0" wp14:anchorId="556424BB" wp14:editId="359F5E91">
                  <wp:extent cx="1632166" cy="1757299"/>
                  <wp:effectExtent l="0" t="0" r="6350" b="0"/>
                  <wp:docPr id="2" name="558px-Bundesarchiv_Bild_119-5592-03A__Portraet_Hitler-Junge.jpg"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8px-Bundesarchiv_Bild_119-5592-03A__Portraet_Hitler-Junge.jpg"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530" cy="1761997"/>
                          </a:xfrm>
                          <a:prstGeom prst="rect">
                            <a:avLst/>
                          </a:prstGeom>
                          <a:noFill/>
                          <a:ln>
                            <a:noFill/>
                          </a:ln>
                        </pic:spPr>
                      </pic:pic>
                    </a:graphicData>
                  </a:graphic>
                </wp:inline>
              </w:drawing>
            </w:r>
          </w:p>
        </w:tc>
        <w:tc>
          <w:tcPr>
            <w:tcW w:w="3260" w:type="dxa"/>
          </w:tcPr>
          <w:p w:rsidR="00F64211" w:rsidRDefault="00F64211">
            <w:r>
              <w:rPr>
                <w:rFonts w:ascii="Arial" w:hAnsi="Arial" w:cs="Arial"/>
                <w:noProof/>
                <w:sz w:val="18"/>
                <w:szCs w:val="18"/>
                <w:lang w:eastAsia="da-DK"/>
              </w:rPr>
              <w:drawing>
                <wp:inline distT="0" distB="0" distL="0" distR="0" wp14:anchorId="44DD1ECF" wp14:editId="522F7339">
                  <wp:extent cx="2341388" cy="1771650"/>
                  <wp:effectExtent l="0" t="0" r="1905" b="0"/>
                  <wp:docPr id="3" name="796px-Bundesarchiv_Bild_146-1973-060-72__Wandernde_Hitlerjungen.jpg"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6px-Bundesarchiv_Bild_146-1973-060-72__Wandernde_Hitlerjungen.jpg"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1388" cy="1771650"/>
                          </a:xfrm>
                          <a:prstGeom prst="rect">
                            <a:avLst/>
                          </a:prstGeom>
                          <a:noFill/>
                          <a:ln>
                            <a:noFill/>
                          </a:ln>
                        </pic:spPr>
                      </pic:pic>
                    </a:graphicData>
                  </a:graphic>
                </wp:inline>
              </w:drawing>
            </w:r>
          </w:p>
        </w:tc>
      </w:tr>
      <w:tr w:rsidR="00F64211" w:rsidRPr="00212D99" w:rsidTr="00F64211">
        <w:tc>
          <w:tcPr>
            <w:tcW w:w="3259" w:type="dxa"/>
          </w:tcPr>
          <w:p w:rsidR="00F64211" w:rsidRPr="00FD0B7E" w:rsidRDefault="00F64211">
            <w:pPr>
              <w:rPr>
                <w:lang w:val="de-DE"/>
              </w:rPr>
            </w:pPr>
            <w:r w:rsidRPr="00FD0B7E">
              <w:rPr>
                <w:rFonts w:ascii="Arial" w:hAnsi="Arial" w:cs="Arial"/>
                <w:sz w:val="18"/>
                <w:szCs w:val="18"/>
                <w:lang w:val="de-DE"/>
              </w:rPr>
              <w:t xml:space="preserve">In den </w:t>
            </w:r>
            <w:proofErr w:type="spellStart"/>
            <w:r w:rsidRPr="00FD0B7E">
              <w:rPr>
                <w:rFonts w:ascii="Arial" w:hAnsi="Arial" w:cs="Arial"/>
                <w:sz w:val="18"/>
                <w:szCs w:val="18"/>
                <w:lang w:val="de-DE"/>
              </w:rPr>
              <w:t>Napolas</w:t>
            </w:r>
            <w:proofErr w:type="spellEnd"/>
            <w:r w:rsidRPr="00FD0B7E">
              <w:rPr>
                <w:rFonts w:ascii="Arial" w:hAnsi="Arial" w:cs="Arial"/>
                <w:sz w:val="18"/>
                <w:szCs w:val="18"/>
                <w:lang w:val="de-DE"/>
              </w:rPr>
              <w:t xml:space="preserve"> stand auch Schießen auf dem Stundenplan.</w:t>
            </w:r>
          </w:p>
        </w:tc>
        <w:tc>
          <w:tcPr>
            <w:tcW w:w="3259" w:type="dxa"/>
          </w:tcPr>
          <w:p w:rsidR="00F64211" w:rsidRPr="00FD0B7E" w:rsidRDefault="00F64211">
            <w:pPr>
              <w:rPr>
                <w:lang w:val="de-DE"/>
              </w:rPr>
            </w:pPr>
            <w:r w:rsidRPr="00FD0B7E">
              <w:rPr>
                <w:rFonts w:ascii="Arial" w:hAnsi="Arial" w:cs="Arial"/>
                <w:sz w:val="18"/>
                <w:szCs w:val="18"/>
                <w:lang w:val="de-DE"/>
              </w:rPr>
              <w:t xml:space="preserve">So stellten sich die Nationalsozialisten die Elite vor, die in die </w:t>
            </w:r>
            <w:proofErr w:type="spellStart"/>
            <w:r w:rsidRPr="00FD0B7E">
              <w:rPr>
                <w:rFonts w:ascii="Arial" w:hAnsi="Arial" w:cs="Arial"/>
                <w:sz w:val="18"/>
                <w:szCs w:val="18"/>
                <w:lang w:val="de-DE"/>
              </w:rPr>
              <w:t>Napolas</w:t>
            </w:r>
            <w:proofErr w:type="spellEnd"/>
            <w:r w:rsidRPr="00FD0B7E">
              <w:rPr>
                <w:rFonts w:ascii="Arial" w:hAnsi="Arial" w:cs="Arial"/>
                <w:sz w:val="18"/>
                <w:szCs w:val="18"/>
                <w:lang w:val="de-DE"/>
              </w:rPr>
              <w:t xml:space="preserve"> aufgenommen wurde.</w:t>
            </w:r>
          </w:p>
        </w:tc>
        <w:tc>
          <w:tcPr>
            <w:tcW w:w="3260" w:type="dxa"/>
          </w:tcPr>
          <w:p w:rsidR="00F64211" w:rsidRPr="00FD0B7E" w:rsidRDefault="00F64211">
            <w:pPr>
              <w:rPr>
                <w:lang w:val="de-DE"/>
              </w:rPr>
            </w:pPr>
            <w:r w:rsidRPr="00FD0B7E">
              <w:rPr>
                <w:rFonts w:ascii="Arial" w:hAnsi="Arial" w:cs="Arial"/>
                <w:sz w:val="18"/>
                <w:szCs w:val="18"/>
                <w:lang w:val="de-DE"/>
              </w:rPr>
              <w:t xml:space="preserve">Geländemärsche standen ebenfalls auf dem Stundenplan der </w:t>
            </w:r>
            <w:proofErr w:type="spellStart"/>
            <w:r w:rsidRPr="00FD0B7E">
              <w:rPr>
                <w:rFonts w:ascii="Arial" w:hAnsi="Arial" w:cs="Arial"/>
                <w:sz w:val="18"/>
                <w:szCs w:val="18"/>
                <w:lang w:val="de-DE"/>
              </w:rPr>
              <w:t>Napola</w:t>
            </w:r>
            <w:proofErr w:type="spellEnd"/>
            <w:r w:rsidRPr="00FD0B7E">
              <w:rPr>
                <w:rFonts w:ascii="Arial" w:hAnsi="Arial" w:cs="Arial"/>
                <w:sz w:val="18"/>
                <w:szCs w:val="18"/>
                <w:lang w:val="de-DE"/>
              </w:rPr>
              <w:t>-Schüler.</w:t>
            </w:r>
          </w:p>
        </w:tc>
      </w:tr>
    </w:tbl>
    <w:p w:rsidR="00F64211" w:rsidRPr="00FD0B7E" w:rsidRDefault="00F64211">
      <w:pPr>
        <w:rPr>
          <w:lang w:val="de-DE"/>
        </w:rPr>
      </w:pPr>
    </w:p>
    <w:p w:rsidR="00F64211" w:rsidRDefault="00F64211">
      <w:r>
        <w:t>(</w:t>
      </w:r>
      <w:proofErr w:type="gramStart"/>
      <w:r>
        <w:t>Fra :</w:t>
      </w:r>
      <w:proofErr w:type="gramEnd"/>
      <w:r>
        <w:t xml:space="preserve"> </w:t>
      </w:r>
      <w:r w:rsidRPr="00F64211">
        <w:t>http://www.zeitklicks.de/nationalsozialismus/zeitklicks/zeit/alltag/schule-und-bildung/napola/</w:t>
      </w:r>
      <w:r>
        <w:t>)</w:t>
      </w:r>
    </w:p>
    <w:sectPr w:rsidR="00F64211" w:rsidSect="00212D99">
      <w:pgSz w:w="11906" w:h="16838"/>
      <w:pgMar w:top="851" w:right="1134" w:bottom="851" w:left="1134"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7D5" w:rsidRDefault="006257D5" w:rsidP="00FD0B7E">
      <w:pPr>
        <w:spacing w:after="0" w:line="240" w:lineRule="auto"/>
      </w:pPr>
      <w:r>
        <w:separator/>
      </w:r>
    </w:p>
  </w:endnote>
  <w:endnote w:type="continuationSeparator" w:id="0">
    <w:p w:rsidR="006257D5" w:rsidRDefault="006257D5" w:rsidP="00FD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7D5" w:rsidRDefault="006257D5" w:rsidP="00FD0B7E">
      <w:pPr>
        <w:spacing w:after="0" w:line="240" w:lineRule="auto"/>
      </w:pPr>
      <w:r>
        <w:separator/>
      </w:r>
    </w:p>
  </w:footnote>
  <w:footnote w:type="continuationSeparator" w:id="0">
    <w:p w:rsidR="006257D5" w:rsidRDefault="006257D5" w:rsidP="00FD0B7E">
      <w:pPr>
        <w:spacing w:after="0" w:line="240" w:lineRule="auto"/>
      </w:pPr>
      <w:r>
        <w:continuationSeparator/>
      </w:r>
    </w:p>
  </w:footnote>
  <w:footnote w:id="1">
    <w:p w:rsidR="00FD0B7E" w:rsidRDefault="00FD0B7E">
      <w:pPr>
        <w:pStyle w:val="Fodnotetekst"/>
      </w:pPr>
      <w:r>
        <w:rPr>
          <w:rStyle w:val="Fodnotehenvisning"/>
        </w:rPr>
        <w:footnoteRef/>
      </w:r>
      <w:r>
        <w:t xml:space="preserve"> </w:t>
      </w:r>
      <w:proofErr w:type="spellStart"/>
      <w:r>
        <w:t>Abkürzung</w:t>
      </w:r>
      <w:proofErr w:type="spellEnd"/>
      <w:r>
        <w:t xml:space="preserve"> (f): forkortelse</w:t>
      </w:r>
    </w:p>
  </w:footnote>
  <w:footnote w:id="2">
    <w:p w:rsidR="00FD0B7E" w:rsidRDefault="00FD0B7E">
      <w:pPr>
        <w:pStyle w:val="Fodnotetekst"/>
      </w:pPr>
      <w:r>
        <w:rPr>
          <w:rStyle w:val="Fodnotehenvisning"/>
        </w:rPr>
        <w:footnoteRef/>
      </w:r>
      <w:r>
        <w:t xml:space="preserve"> Internat (n): kostskole</w:t>
      </w:r>
    </w:p>
  </w:footnote>
  <w:footnote w:id="3">
    <w:p w:rsidR="00FD0B7E" w:rsidRDefault="00FD0B7E">
      <w:pPr>
        <w:pStyle w:val="Fodnotetekst"/>
      </w:pPr>
      <w:r>
        <w:rPr>
          <w:rStyle w:val="Fodnotehenvisning"/>
        </w:rPr>
        <w:footnoteRef/>
      </w:r>
      <w:r>
        <w:t xml:space="preserve"> </w:t>
      </w:r>
      <w:proofErr w:type="spellStart"/>
      <w:r>
        <w:t>einschwören</w:t>
      </w:r>
      <w:proofErr w:type="spellEnd"/>
      <w:r>
        <w:t>: forpligte, lade aflægge troskabsed</w:t>
      </w:r>
    </w:p>
  </w:footnote>
  <w:footnote w:id="4">
    <w:p w:rsidR="00FD0B7E" w:rsidRPr="00212D99" w:rsidRDefault="00FD0B7E">
      <w:pPr>
        <w:pStyle w:val="Fodnotetekst"/>
        <w:rPr>
          <w:lang w:val="de-DE"/>
        </w:rPr>
      </w:pPr>
      <w:r>
        <w:rPr>
          <w:rStyle w:val="Fodnotehenvisning"/>
        </w:rPr>
        <w:footnoteRef/>
      </w:r>
      <w:r w:rsidRPr="00212D99">
        <w:rPr>
          <w:lang w:val="de-DE"/>
        </w:rPr>
        <w:t xml:space="preserve"> erziehen: opdrage</w:t>
      </w:r>
    </w:p>
  </w:footnote>
  <w:footnote w:id="5">
    <w:p w:rsidR="00FD0B7E" w:rsidRPr="00765971" w:rsidRDefault="00FD0B7E">
      <w:pPr>
        <w:pStyle w:val="Fodnotetekst"/>
        <w:rPr>
          <w:lang w:val="de-DE"/>
        </w:rPr>
      </w:pPr>
      <w:r>
        <w:rPr>
          <w:rStyle w:val="Fodnotehenvisning"/>
        </w:rPr>
        <w:footnoteRef/>
      </w:r>
      <w:r w:rsidRPr="00765971">
        <w:rPr>
          <w:lang w:val="de-DE"/>
        </w:rPr>
        <w:t xml:space="preserve"> entstehen: </w:t>
      </w:r>
      <w:proofErr w:type="spellStart"/>
      <w:r w:rsidRPr="00765971">
        <w:rPr>
          <w:lang w:val="de-DE"/>
        </w:rPr>
        <w:t>opstå</w:t>
      </w:r>
      <w:proofErr w:type="spellEnd"/>
    </w:p>
  </w:footnote>
  <w:footnote w:id="6">
    <w:p w:rsidR="00765971" w:rsidRPr="00765971" w:rsidRDefault="00765971">
      <w:pPr>
        <w:pStyle w:val="Fodnotetekst"/>
        <w:rPr>
          <w:lang w:val="de-DE"/>
        </w:rPr>
      </w:pPr>
      <w:r>
        <w:rPr>
          <w:rStyle w:val="Fodnotehenvisning"/>
        </w:rPr>
        <w:footnoteRef/>
      </w:r>
      <w:r w:rsidRPr="00765971">
        <w:rPr>
          <w:lang w:val="de-DE"/>
        </w:rPr>
        <w:t xml:space="preserve"> </w:t>
      </w:r>
      <w:r>
        <w:rPr>
          <w:lang w:val="de-DE"/>
        </w:rPr>
        <w:t xml:space="preserve">aufnehmen: </w:t>
      </w:r>
      <w:proofErr w:type="spellStart"/>
      <w:r>
        <w:rPr>
          <w:lang w:val="de-DE"/>
        </w:rPr>
        <w:t>optage</w:t>
      </w:r>
      <w:proofErr w:type="spellEnd"/>
    </w:p>
  </w:footnote>
  <w:footnote w:id="7">
    <w:p w:rsidR="00FD0B7E" w:rsidRPr="00765971" w:rsidRDefault="00FD0B7E">
      <w:pPr>
        <w:pStyle w:val="Fodnotetekst"/>
        <w:rPr>
          <w:lang w:val="de-DE"/>
        </w:rPr>
      </w:pPr>
      <w:r>
        <w:rPr>
          <w:rStyle w:val="Fodnotehenvisning"/>
        </w:rPr>
        <w:footnoteRef/>
      </w:r>
      <w:r w:rsidRPr="00765971">
        <w:rPr>
          <w:lang w:val="de-DE"/>
        </w:rPr>
        <w:t xml:space="preserve"> </w:t>
      </w:r>
      <w:proofErr w:type="spellStart"/>
      <w:r w:rsidRPr="00765971">
        <w:rPr>
          <w:lang w:val="de-DE"/>
        </w:rPr>
        <w:t>eegehren</w:t>
      </w:r>
      <w:proofErr w:type="spellEnd"/>
      <w:r w:rsidRPr="00765971">
        <w:rPr>
          <w:lang w:val="de-DE"/>
        </w:rPr>
        <w:t xml:space="preserve">: </w:t>
      </w:r>
      <w:proofErr w:type="spellStart"/>
      <w:r w:rsidRPr="00765971">
        <w:rPr>
          <w:lang w:val="de-DE"/>
        </w:rPr>
        <w:t>begære</w:t>
      </w:r>
      <w:proofErr w:type="spellEnd"/>
    </w:p>
  </w:footnote>
  <w:footnote w:id="8">
    <w:p w:rsidR="00FD0B7E" w:rsidRPr="00765971" w:rsidRDefault="00FD0B7E">
      <w:pPr>
        <w:pStyle w:val="Fodnotetekst"/>
        <w:rPr>
          <w:lang w:val="de-DE"/>
        </w:rPr>
      </w:pPr>
      <w:r>
        <w:rPr>
          <w:rStyle w:val="Fodnotehenvisning"/>
        </w:rPr>
        <w:footnoteRef/>
      </w:r>
      <w:r w:rsidRPr="00765971">
        <w:rPr>
          <w:lang w:val="de-DE"/>
        </w:rPr>
        <w:t xml:space="preserve"> Bewerber (m): </w:t>
      </w:r>
      <w:proofErr w:type="spellStart"/>
      <w:r w:rsidRPr="00765971">
        <w:rPr>
          <w:lang w:val="de-DE"/>
        </w:rPr>
        <w:t>ansøger</w:t>
      </w:r>
      <w:proofErr w:type="spellEnd"/>
    </w:p>
  </w:footnote>
  <w:footnote w:id="9">
    <w:p w:rsidR="00FD0B7E" w:rsidRPr="00212D99" w:rsidRDefault="00FD0B7E">
      <w:pPr>
        <w:pStyle w:val="Fodnotetekst"/>
        <w:rPr>
          <w:lang w:val="de-DE"/>
        </w:rPr>
      </w:pPr>
      <w:r>
        <w:rPr>
          <w:rStyle w:val="Fodnotehenvisning"/>
        </w:rPr>
        <w:footnoteRef/>
      </w:r>
      <w:r w:rsidRPr="00212D99">
        <w:rPr>
          <w:lang w:val="de-DE"/>
        </w:rPr>
        <w:t xml:space="preserve"> Eignung (f): egnethed, duelighed</w:t>
      </w:r>
    </w:p>
  </w:footnote>
  <w:footnote w:id="10">
    <w:p w:rsidR="00FD0B7E" w:rsidRPr="00212D99" w:rsidRDefault="00FD0B7E">
      <w:pPr>
        <w:pStyle w:val="Fodnotetekst"/>
        <w:rPr>
          <w:lang w:val="de-DE"/>
        </w:rPr>
      </w:pPr>
      <w:r>
        <w:rPr>
          <w:rStyle w:val="Fodnotehenvisning"/>
        </w:rPr>
        <w:footnoteRef/>
      </w:r>
      <w:r w:rsidRPr="00212D99">
        <w:rPr>
          <w:lang w:val="de-DE"/>
        </w:rPr>
        <w:t xml:space="preserve"> Beamte (m): tjenestemand</w:t>
      </w:r>
    </w:p>
  </w:footnote>
  <w:footnote w:id="11">
    <w:p w:rsidR="00FD0B7E" w:rsidRPr="00212D99" w:rsidRDefault="00FD0B7E">
      <w:pPr>
        <w:pStyle w:val="Fodnotetekst"/>
        <w:rPr>
          <w:lang w:val="de-DE"/>
        </w:rPr>
      </w:pPr>
      <w:r>
        <w:rPr>
          <w:rStyle w:val="Fodnotehenvisning"/>
        </w:rPr>
        <w:footnoteRef/>
      </w:r>
      <w:r w:rsidRPr="00212D99">
        <w:rPr>
          <w:lang w:val="de-DE"/>
        </w:rPr>
        <w:t xml:space="preserve"> Bildung (f): dannelse</w:t>
      </w:r>
    </w:p>
  </w:footnote>
  <w:footnote w:id="12">
    <w:p w:rsidR="00FD0B7E" w:rsidRPr="00212D99" w:rsidRDefault="00FD0B7E">
      <w:pPr>
        <w:pStyle w:val="Fodnotetekst"/>
        <w:rPr>
          <w:lang w:val="de-DE"/>
        </w:rPr>
      </w:pPr>
      <w:r>
        <w:rPr>
          <w:rStyle w:val="Fodnotehenvisning"/>
        </w:rPr>
        <w:footnoteRef/>
      </w:r>
      <w:r w:rsidRPr="00212D99">
        <w:rPr>
          <w:lang w:val="de-DE"/>
        </w:rPr>
        <w:t xml:space="preserve"> auf etwas verzichten: at give afkald på noget</w:t>
      </w:r>
    </w:p>
  </w:footnote>
  <w:footnote w:id="13">
    <w:p w:rsidR="00FD0B7E" w:rsidRDefault="00FD0B7E">
      <w:pPr>
        <w:pStyle w:val="Fodnotetekst"/>
      </w:pPr>
      <w:r>
        <w:rPr>
          <w:rStyle w:val="Fodnotehenvisning"/>
        </w:rPr>
        <w:footnoteRef/>
      </w:r>
      <w:r>
        <w:t xml:space="preserve"> </w:t>
      </w:r>
      <w:proofErr w:type="spellStart"/>
      <w:r>
        <w:t>Gliederung</w:t>
      </w:r>
      <w:proofErr w:type="spellEnd"/>
      <w:r>
        <w:t xml:space="preserve"> (f): inddeling, organisation</w:t>
      </w:r>
    </w:p>
  </w:footnote>
  <w:footnote w:id="14">
    <w:p w:rsidR="00FD0B7E" w:rsidRDefault="00FD0B7E">
      <w:pPr>
        <w:pStyle w:val="Fodnotetekst"/>
      </w:pPr>
      <w:r>
        <w:rPr>
          <w:rStyle w:val="Fodnotehenvisning"/>
        </w:rPr>
        <w:footnoteRef/>
      </w:r>
      <w:r>
        <w:t xml:space="preserve"> </w:t>
      </w:r>
      <w:proofErr w:type="spellStart"/>
      <w:r>
        <w:t>treiben</w:t>
      </w:r>
      <w:proofErr w:type="spellEnd"/>
      <w:r>
        <w:t>: dyrke</w:t>
      </w:r>
    </w:p>
  </w:footnote>
  <w:footnote w:id="15">
    <w:p w:rsidR="00FD0B7E" w:rsidRDefault="00FD0B7E">
      <w:pPr>
        <w:pStyle w:val="Fodnotetekst"/>
      </w:pPr>
      <w:r>
        <w:rPr>
          <w:rStyle w:val="Fodnotehenvisning"/>
        </w:rPr>
        <w:footnoteRef/>
      </w:r>
      <w:r>
        <w:t xml:space="preserve"> </w:t>
      </w:r>
      <w:proofErr w:type="spellStart"/>
      <w:r>
        <w:t>Gelände</w:t>
      </w:r>
      <w:proofErr w:type="spellEnd"/>
      <w:r>
        <w:t xml:space="preserve"> (n): landskab, terræn</w:t>
      </w:r>
    </w:p>
  </w:footnote>
  <w:footnote w:id="16">
    <w:p w:rsidR="00FD0B7E" w:rsidRDefault="00FD0B7E">
      <w:pPr>
        <w:pStyle w:val="Fodnotetekst"/>
      </w:pPr>
      <w:r>
        <w:rPr>
          <w:rStyle w:val="Fodnotehenvisning"/>
        </w:rPr>
        <w:footnoteRef/>
      </w:r>
      <w:r>
        <w:t xml:space="preserve"> </w:t>
      </w:r>
      <w:proofErr w:type="spellStart"/>
      <w:r>
        <w:t>Sonnewende</w:t>
      </w:r>
      <w:proofErr w:type="spellEnd"/>
      <w:r>
        <w:t xml:space="preserve"> (f): sankthans</w:t>
      </w:r>
    </w:p>
  </w:footnote>
  <w:footnote w:id="17">
    <w:p w:rsidR="00FD0B7E" w:rsidRDefault="00FD0B7E">
      <w:pPr>
        <w:pStyle w:val="Fodnotetekst"/>
      </w:pPr>
      <w:r>
        <w:rPr>
          <w:rStyle w:val="Fodnotehenvisning"/>
        </w:rPr>
        <w:footnoteRef/>
      </w:r>
      <w:r>
        <w:t xml:space="preserve"> </w:t>
      </w:r>
      <w:proofErr w:type="spellStart"/>
      <w:r>
        <w:t>hinterfragen</w:t>
      </w:r>
      <w:proofErr w:type="spellEnd"/>
      <w:r>
        <w:t>: sætte spørgsmålstegn ved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11"/>
    <w:rsid w:val="00212D99"/>
    <w:rsid w:val="00243B0C"/>
    <w:rsid w:val="00534601"/>
    <w:rsid w:val="006257D5"/>
    <w:rsid w:val="00765971"/>
    <w:rsid w:val="00C53DCD"/>
    <w:rsid w:val="00F64211"/>
    <w:rsid w:val="00FD0B7E"/>
    <w:rsid w:val="00FD34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odytext">
    <w:name w:val="bodytext"/>
    <w:basedOn w:val="Normal"/>
    <w:rsid w:val="00F64211"/>
    <w:pPr>
      <w:spacing w:after="225"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59"/>
    <w:rsid w:val="00F6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6421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4211"/>
    <w:rPr>
      <w:rFonts w:ascii="Tahoma" w:hAnsi="Tahoma" w:cs="Tahoma"/>
      <w:sz w:val="16"/>
      <w:szCs w:val="16"/>
    </w:rPr>
  </w:style>
  <w:style w:type="paragraph" w:styleId="Fodnotetekst">
    <w:name w:val="footnote text"/>
    <w:basedOn w:val="Normal"/>
    <w:link w:val="FodnotetekstTegn"/>
    <w:uiPriority w:val="99"/>
    <w:semiHidden/>
    <w:unhideWhenUsed/>
    <w:rsid w:val="00FD0B7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D0B7E"/>
    <w:rPr>
      <w:sz w:val="20"/>
      <w:szCs w:val="20"/>
    </w:rPr>
  </w:style>
  <w:style w:type="character" w:styleId="Fodnotehenvisning">
    <w:name w:val="footnote reference"/>
    <w:basedOn w:val="Standardskrifttypeiafsnit"/>
    <w:uiPriority w:val="99"/>
    <w:semiHidden/>
    <w:unhideWhenUsed/>
    <w:rsid w:val="00FD0B7E"/>
    <w:rPr>
      <w:vertAlign w:val="superscript"/>
    </w:rPr>
  </w:style>
  <w:style w:type="character" w:styleId="Linjenummer">
    <w:name w:val="line number"/>
    <w:basedOn w:val="Standardskrifttypeiafsnit"/>
    <w:uiPriority w:val="99"/>
    <w:semiHidden/>
    <w:unhideWhenUsed/>
    <w:rsid w:val="00212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odytext">
    <w:name w:val="bodytext"/>
    <w:basedOn w:val="Normal"/>
    <w:rsid w:val="00F64211"/>
    <w:pPr>
      <w:spacing w:after="225"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59"/>
    <w:rsid w:val="00F6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6421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4211"/>
    <w:rPr>
      <w:rFonts w:ascii="Tahoma" w:hAnsi="Tahoma" w:cs="Tahoma"/>
      <w:sz w:val="16"/>
      <w:szCs w:val="16"/>
    </w:rPr>
  </w:style>
  <w:style w:type="paragraph" w:styleId="Fodnotetekst">
    <w:name w:val="footnote text"/>
    <w:basedOn w:val="Normal"/>
    <w:link w:val="FodnotetekstTegn"/>
    <w:uiPriority w:val="99"/>
    <w:semiHidden/>
    <w:unhideWhenUsed/>
    <w:rsid w:val="00FD0B7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D0B7E"/>
    <w:rPr>
      <w:sz w:val="20"/>
      <w:szCs w:val="20"/>
    </w:rPr>
  </w:style>
  <w:style w:type="character" w:styleId="Fodnotehenvisning">
    <w:name w:val="footnote reference"/>
    <w:basedOn w:val="Standardskrifttypeiafsnit"/>
    <w:uiPriority w:val="99"/>
    <w:semiHidden/>
    <w:unhideWhenUsed/>
    <w:rsid w:val="00FD0B7E"/>
    <w:rPr>
      <w:vertAlign w:val="superscript"/>
    </w:rPr>
  </w:style>
  <w:style w:type="character" w:styleId="Linjenummer">
    <w:name w:val="line number"/>
    <w:basedOn w:val="Standardskrifttypeiafsnit"/>
    <w:uiPriority w:val="99"/>
    <w:semiHidden/>
    <w:unhideWhenUsed/>
    <w:rsid w:val="0021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1420">
      <w:bodyDiv w:val="1"/>
      <w:marLeft w:val="0"/>
      <w:marRight w:val="0"/>
      <w:marTop w:val="0"/>
      <w:marBottom w:val="0"/>
      <w:divBdr>
        <w:top w:val="none" w:sz="0" w:space="0" w:color="auto"/>
        <w:left w:val="none" w:sz="0" w:space="0" w:color="auto"/>
        <w:bottom w:val="none" w:sz="0" w:space="0" w:color="auto"/>
        <w:right w:val="none" w:sz="0" w:space="0" w:color="auto"/>
      </w:divBdr>
      <w:divsChild>
        <w:div w:id="2111780224">
          <w:marLeft w:val="0"/>
          <w:marRight w:val="0"/>
          <w:marTop w:val="0"/>
          <w:marBottom w:val="0"/>
          <w:divBdr>
            <w:top w:val="none" w:sz="0" w:space="0" w:color="auto"/>
            <w:left w:val="none" w:sz="0" w:space="0" w:color="auto"/>
            <w:bottom w:val="none" w:sz="0" w:space="0" w:color="auto"/>
            <w:right w:val="none" w:sz="0" w:space="0" w:color="auto"/>
          </w:divBdr>
          <w:divsChild>
            <w:div w:id="537162470">
              <w:marLeft w:val="-7605"/>
              <w:marRight w:val="0"/>
              <w:marTop w:val="150"/>
              <w:marBottom w:val="0"/>
              <w:divBdr>
                <w:top w:val="none" w:sz="0" w:space="0" w:color="auto"/>
                <w:left w:val="none" w:sz="0" w:space="0" w:color="auto"/>
                <w:bottom w:val="none" w:sz="0" w:space="0" w:color="auto"/>
                <w:right w:val="none" w:sz="0" w:space="0" w:color="auto"/>
              </w:divBdr>
              <w:divsChild>
                <w:div w:id="1681816088">
                  <w:marLeft w:val="0"/>
                  <w:marRight w:val="0"/>
                  <w:marTop w:val="0"/>
                  <w:marBottom w:val="0"/>
                  <w:divBdr>
                    <w:top w:val="none" w:sz="0" w:space="0" w:color="auto"/>
                    <w:left w:val="none" w:sz="0" w:space="0" w:color="auto"/>
                    <w:bottom w:val="none" w:sz="0" w:space="0" w:color="auto"/>
                    <w:right w:val="none" w:sz="0" w:space="0" w:color="auto"/>
                  </w:divBdr>
                  <w:divsChild>
                    <w:div w:id="1909918420">
                      <w:marLeft w:val="0"/>
                      <w:marRight w:val="0"/>
                      <w:marTop w:val="0"/>
                      <w:marBottom w:val="0"/>
                      <w:divBdr>
                        <w:top w:val="none" w:sz="0" w:space="0" w:color="auto"/>
                        <w:left w:val="none" w:sz="0" w:space="0" w:color="auto"/>
                        <w:bottom w:val="none" w:sz="0" w:space="0" w:color="auto"/>
                        <w:right w:val="none" w:sz="0" w:space="0" w:color="auto"/>
                      </w:divBdr>
                      <w:divsChild>
                        <w:div w:id="783429498">
                          <w:marLeft w:val="0"/>
                          <w:marRight w:val="0"/>
                          <w:marTop w:val="0"/>
                          <w:marBottom w:val="0"/>
                          <w:divBdr>
                            <w:top w:val="none" w:sz="0" w:space="0" w:color="auto"/>
                            <w:left w:val="none" w:sz="0" w:space="0" w:color="auto"/>
                            <w:bottom w:val="none" w:sz="0" w:space="0" w:color="auto"/>
                            <w:right w:val="none" w:sz="0" w:space="0" w:color="auto"/>
                          </w:divBdr>
                          <w:divsChild>
                            <w:div w:id="1829009184">
                              <w:marLeft w:val="0"/>
                              <w:marRight w:val="0"/>
                              <w:marTop w:val="0"/>
                              <w:marBottom w:val="0"/>
                              <w:divBdr>
                                <w:top w:val="none" w:sz="0" w:space="0" w:color="auto"/>
                                <w:left w:val="none" w:sz="0" w:space="0" w:color="auto"/>
                                <w:bottom w:val="none" w:sz="0" w:space="0" w:color="auto"/>
                                <w:right w:val="none" w:sz="0" w:space="0" w:color="auto"/>
                              </w:divBdr>
                              <w:divsChild>
                                <w:div w:id="1661425856">
                                  <w:marLeft w:val="0"/>
                                  <w:marRight w:val="0"/>
                                  <w:marTop w:val="0"/>
                                  <w:marBottom w:val="0"/>
                                  <w:divBdr>
                                    <w:top w:val="none" w:sz="0" w:space="0" w:color="auto"/>
                                    <w:left w:val="none" w:sz="0" w:space="0" w:color="auto"/>
                                    <w:bottom w:val="none" w:sz="0" w:space="0" w:color="auto"/>
                                    <w:right w:val="none" w:sz="0" w:space="0" w:color="auto"/>
                                  </w:divBdr>
                                  <w:divsChild>
                                    <w:div w:id="896281495">
                                      <w:marLeft w:val="0"/>
                                      <w:marRight w:val="0"/>
                                      <w:marTop w:val="0"/>
                                      <w:marBottom w:val="0"/>
                                      <w:divBdr>
                                        <w:top w:val="none" w:sz="0" w:space="0" w:color="auto"/>
                                        <w:left w:val="none" w:sz="0" w:space="0" w:color="auto"/>
                                        <w:bottom w:val="none" w:sz="0" w:space="0" w:color="auto"/>
                                        <w:right w:val="none" w:sz="0" w:space="0" w:color="auto"/>
                                      </w:divBdr>
                                      <w:divsChild>
                                        <w:div w:id="13470504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628214">
      <w:bodyDiv w:val="1"/>
      <w:marLeft w:val="0"/>
      <w:marRight w:val="0"/>
      <w:marTop w:val="0"/>
      <w:marBottom w:val="0"/>
      <w:divBdr>
        <w:top w:val="none" w:sz="0" w:space="0" w:color="auto"/>
        <w:left w:val="none" w:sz="0" w:space="0" w:color="auto"/>
        <w:bottom w:val="none" w:sz="0" w:space="0" w:color="auto"/>
        <w:right w:val="none" w:sz="0" w:space="0" w:color="auto"/>
      </w:divBdr>
      <w:divsChild>
        <w:div w:id="151531572">
          <w:marLeft w:val="0"/>
          <w:marRight w:val="0"/>
          <w:marTop w:val="0"/>
          <w:marBottom w:val="0"/>
          <w:divBdr>
            <w:top w:val="none" w:sz="0" w:space="0" w:color="auto"/>
            <w:left w:val="none" w:sz="0" w:space="0" w:color="auto"/>
            <w:bottom w:val="none" w:sz="0" w:space="0" w:color="auto"/>
            <w:right w:val="none" w:sz="0" w:space="0" w:color="auto"/>
          </w:divBdr>
          <w:divsChild>
            <w:div w:id="1483349982">
              <w:marLeft w:val="-7605"/>
              <w:marRight w:val="0"/>
              <w:marTop w:val="150"/>
              <w:marBottom w:val="0"/>
              <w:divBdr>
                <w:top w:val="none" w:sz="0" w:space="0" w:color="auto"/>
                <w:left w:val="none" w:sz="0" w:space="0" w:color="auto"/>
                <w:bottom w:val="none" w:sz="0" w:space="0" w:color="auto"/>
                <w:right w:val="none" w:sz="0" w:space="0" w:color="auto"/>
              </w:divBdr>
              <w:divsChild>
                <w:div w:id="54624167">
                  <w:marLeft w:val="0"/>
                  <w:marRight w:val="0"/>
                  <w:marTop w:val="0"/>
                  <w:marBottom w:val="0"/>
                  <w:divBdr>
                    <w:top w:val="none" w:sz="0" w:space="0" w:color="auto"/>
                    <w:left w:val="none" w:sz="0" w:space="0" w:color="auto"/>
                    <w:bottom w:val="none" w:sz="0" w:space="0" w:color="auto"/>
                    <w:right w:val="none" w:sz="0" w:space="0" w:color="auto"/>
                  </w:divBdr>
                  <w:divsChild>
                    <w:div w:id="884100492">
                      <w:marLeft w:val="0"/>
                      <w:marRight w:val="0"/>
                      <w:marTop w:val="0"/>
                      <w:marBottom w:val="0"/>
                      <w:divBdr>
                        <w:top w:val="none" w:sz="0" w:space="0" w:color="auto"/>
                        <w:left w:val="none" w:sz="0" w:space="0" w:color="auto"/>
                        <w:bottom w:val="none" w:sz="0" w:space="0" w:color="auto"/>
                        <w:right w:val="none" w:sz="0" w:space="0" w:color="auto"/>
                      </w:divBdr>
                      <w:divsChild>
                        <w:div w:id="1854101665">
                          <w:marLeft w:val="0"/>
                          <w:marRight w:val="0"/>
                          <w:marTop w:val="0"/>
                          <w:marBottom w:val="0"/>
                          <w:divBdr>
                            <w:top w:val="none" w:sz="0" w:space="0" w:color="auto"/>
                            <w:left w:val="none" w:sz="0" w:space="0" w:color="auto"/>
                            <w:bottom w:val="none" w:sz="0" w:space="0" w:color="auto"/>
                            <w:right w:val="none" w:sz="0" w:space="0" w:color="auto"/>
                          </w:divBdr>
                          <w:divsChild>
                            <w:div w:id="2005624879">
                              <w:marLeft w:val="0"/>
                              <w:marRight w:val="0"/>
                              <w:marTop w:val="0"/>
                              <w:marBottom w:val="0"/>
                              <w:divBdr>
                                <w:top w:val="none" w:sz="0" w:space="0" w:color="auto"/>
                                <w:left w:val="none" w:sz="0" w:space="0" w:color="auto"/>
                                <w:bottom w:val="none" w:sz="0" w:space="0" w:color="auto"/>
                                <w:right w:val="none" w:sz="0" w:space="0" w:color="auto"/>
                              </w:divBdr>
                              <w:divsChild>
                                <w:div w:id="164322644">
                                  <w:marLeft w:val="0"/>
                                  <w:marRight w:val="0"/>
                                  <w:marTop w:val="0"/>
                                  <w:marBottom w:val="0"/>
                                  <w:divBdr>
                                    <w:top w:val="none" w:sz="0" w:space="0" w:color="auto"/>
                                    <w:left w:val="none" w:sz="0" w:space="0" w:color="auto"/>
                                    <w:bottom w:val="none" w:sz="0" w:space="0" w:color="auto"/>
                                    <w:right w:val="none" w:sz="0" w:space="0" w:color="auto"/>
                                  </w:divBdr>
                                  <w:divsChild>
                                    <w:div w:id="1296645535">
                                      <w:marLeft w:val="0"/>
                                      <w:marRight w:val="0"/>
                                      <w:marTop w:val="0"/>
                                      <w:marBottom w:val="0"/>
                                      <w:divBdr>
                                        <w:top w:val="none" w:sz="0" w:space="0" w:color="auto"/>
                                        <w:left w:val="none" w:sz="0" w:space="0" w:color="auto"/>
                                        <w:bottom w:val="none" w:sz="0" w:space="0" w:color="auto"/>
                                        <w:right w:val="none" w:sz="0" w:space="0" w:color="auto"/>
                                      </w:divBdr>
                                      <w:divsChild>
                                        <w:div w:id="148073083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k/url?sa=i&amp;rct=j&amp;q=&amp;esrc=s&amp;source=images&amp;cd=&amp;cad=rja&amp;uact=8&amp;ved=0CAcQjRxqFQoTCLvilKabn8cCFQTAFAoddCYCKg&amp;url=https://de.wikipedia.org/wiki/Nationalpolitische_Erziehungsanstalt&amp;ei=mPbIVbu2MYSAU_TMiNAC&amp;bvm=bv.99804247,d.d24&amp;psig=AFQjCNGR-n6TaiJHUZdG2YFIIi9IU5R1fw&amp;ust=143932008770610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E251-617F-44A0-BAF3-3028BF0F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427</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dc:creator>
  <cp:lastModifiedBy>BT</cp:lastModifiedBy>
  <cp:revision>5</cp:revision>
  <dcterms:created xsi:type="dcterms:W3CDTF">2015-08-10T19:04:00Z</dcterms:created>
  <dcterms:modified xsi:type="dcterms:W3CDTF">2015-08-23T10:28:00Z</dcterms:modified>
</cp:coreProperties>
</file>