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FC825C" w14:textId="77777777" w:rsidR="009C7E86" w:rsidRDefault="009C7E86" w:rsidP="009C7E86">
      <w:pPr>
        <w:pStyle w:val="Default"/>
        <w:rPr>
          <w:sz w:val="28"/>
          <w:szCs w:val="28"/>
        </w:rPr>
      </w:pPr>
      <w:r>
        <w:rPr>
          <w:sz w:val="28"/>
          <w:szCs w:val="28"/>
        </w:rPr>
        <w:t xml:space="preserve">Modul 2: Gennemførelsen af Reformationen i Viborg </w:t>
      </w:r>
    </w:p>
    <w:p w14:paraId="5621E61A" w14:textId="77777777" w:rsidR="009C7E86" w:rsidRDefault="009C7E86" w:rsidP="009C7E86">
      <w:pPr>
        <w:pStyle w:val="Default"/>
        <w:rPr>
          <w:sz w:val="28"/>
          <w:szCs w:val="28"/>
        </w:rPr>
      </w:pPr>
    </w:p>
    <w:p w14:paraId="6D8555C0" w14:textId="77777777" w:rsidR="009C7E86" w:rsidRDefault="009C7E86" w:rsidP="009C7E86">
      <w:pPr>
        <w:pStyle w:val="Default"/>
        <w:rPr>
          <w:rFonts w:ascii="Calibri" w:hAnsi="Calibri" w:cs="Calibri"/>
          <w:sz w:val="22"/>
          <w:szCs w:val="22"/>
        </w:rPr>
      </w:pPr>
      <w:r>
        <w:rPr>
          <w:rFonts w:ascii="Calibri" w:hAnsi="Calibri" w:cs="Calibri"/>
          <w:b/>
          <w:bCs/>
          <w:sz w:val="22"/>
          <w:szCs w:val="22"/>
        </w:rPr>
        <w:t xml:space="preserve">Lektier til dette modul </w:t>
      </w:r>
    </w:p>
    <w:p w14:paraId="2F378C94" w14:textId="77777777" w:rsidR="009C7E86" w:rsidRDefault="009C7E86" w:rsidP="009C7E86">
      <w:pPr>
        <w:pStyle w:val="Default"/>
        <w:rPr>
          <w:sz w:val="23"/>
          <w:szCs w:val="23"/>
        </w:rPr>
      </w:pPr>
      <w:r>
        <w:rPr>
          <w:sz w:val="23"/>
          <w:szCs w:val="23"/>
        </w:rPr>
        <w:t xml:space="preserve">Instruktion til lektien: </w:t>
      </w:r>
    </w:p>
    <w:p w14:paraId="0118DDEA" w14:textId="77777777" w:rsidR="009C7E86" w:rsidRDefault="009C7E86" w:rsidP="009C7E86">
      <w:pPr>
        <w:pStyle w:val="Default"/>
        <w:spacing w:after="42"/>
        <w:rPr>
          <w:sz w:val="23"/>
          <w:szCs w:val="23"/>
        </w:rPr>
      </w:pPr>
      <w:r>
        <w:rPr>
          <w:sz w:val="23"/>
          <w:szCs w:val="23"/>
        </w:rPr>
        <w:t xml:space="preserve">1) Med udgangspunkt i både sidste moduls lektie og den følgende tekst, brug da fem minutter på at svare på følgende – og der kan sagtens være flere svar på hvert spørgsmål: </w:t>
      </w:r>
    </w:p>
    <w:p w14:paraId="32060CCF" w14:textId="77777777" w:rsidR="009C7E86" w:rsidRDefault="009C7E86" w:rsidP="009C7E86">
      <w:pPr>
        <w:pStyle w:val="Default"/>
        <w:spacing w:after="42"/>
        <w:rPr>
          <w:sz w:val="23"/>
          <w:szCs w:val="23"/>
        </w:rPr>
      </w:pPr>
      <w:r>
        <w:rPr>
          <w:sz w:val="23"/>
          <w:szCs w:val="23"/>
        </w:rPr>
        <w:t xml:space="preserve">a) HVEM er uenige? </w:t>
      </w:r>
    </w:p>
    <w:p w14:paraId="2D2640E3" w14:textId="77777777" w:rsidR="009C7E86" w:rsidRDefault="009C7E86" w:rsidP="009C7E86">
      <w:pPr>
        <w:pStyle w:val="Default"/>
        <w:spacing w:after="42"/>
        <w:rPr>
          <w:sz w:val="23"/>
          <w:szCs w:val="23"/>
        </w:rPr>
      </w:pPr>
      <w:r>
        <w:rPr>
          <w:sz w:val="23"/>
          <w:szCs w:val="23"/>
        </w:rPr>
        <w:t xml:space="preserve">b) HVAD består uenighederne i? </w:t>
      </w:r>
    </w:p>
    <w:p w14:paraId="2F9401B8" w14:textId="77777777" w:rsidR="009C7E86" w:rsidRDefault="009C7E86" w:rsidP="009C7E86">
      <w:pPr>
        <w:pStyle w:val="Default"/>
        <w:spacing w:after="42"/>
        <w:rPr>
          <w:sz w:val="23"/>
          <w:szCs w:val="23"/>
        </w:rPr>
      </w:pPr>
      <w:r>
        <w:rPr>
          <w:sz w:val="23"/>
          <w:szCs w:val="23"/>
        </w:rPr>
        <w:t xml:space="preserve">c) HVORDAN kommer uenighederne til udtryk? </w:t>
      </w:r>
    </w:p>
    <w:p w14:paraId="5C12C958" w14:textId="77777777" w:rsidR="009C7E86" w:rsidRDefault="009C7E86" w:rsidP="009C7E86">
      <w:pPr>
        <w:pStyle w:val="Default"/>
        <w:rPr>
          <w:sz w:val="23"/>
          <w:szCs w:val="23"/>
        </w:rPr>
      </w:pPr>
      <w:r>
        <w:rPr>
          <w:sz w:val="23"/>
          <w:szCs w:val="23"/>
        </w:rPr>
        <w:t xml:space="preserve">d) HVORFOR er de uenige? </w:t>
      </w:r>
    </w:p>
    <w:p w14:paraId="57C320D4" w14:textId="77777777" w:rsidR="009C7E86" w:rsidRDefault="009C7E86" w:rsidP="009C7E86">
      <w:pPr>
        <w:pStyle w:val="Default"/>
        <w:rPr>
          <w:sz w:val="23"/>
          <w:szCs w:val="23"/>
        </w:rPr>
      </w:pPr>
    </w:p>
    <w:p w14:paraId="73CF3DBA" w14:textId="77777777" w:rsidR="009C7E86" w:rsidRDefault="009C7E86" w:rsidP="009C7E86">
      <w:pPr>
        <w:pStyle w:val="Default"/>
        <w:rPr>
          <w:sz w:val="23"/>
          <w:szCs w:val="23"/>
        </w:rPr>
      </w:pPr>
      <w:r>
        <w:rPr>
          <w:sz w:val="23"/>
          <w:szCs w:val="23"/>
        </w:rPr>
        <w:t xml:space="preserve">Som mennesker kan vi ikke bare gøre hvad som helst, idet vi er begrænset af, hvad man kan kalde vores mentale værktøj. Et værktøj kan bruges til at </w:t>
      </w:r>
      <w:r>
        <w:rPr>
          <w:i/>
          <w:iCs/>
          <w:sz w:val="23"/>
          <w:szCs w:val="23"/>
        </w:rPr>
        <w:t xml:space="preserve">gøre </w:t>
      </w:r>
      <w:r>
        <w:rPr>
          <w:sz w:val="23"/>
          <w:szCs w:val="23"/>
        </w:rPr>
        <w:t xml:space="preserve">noget ved verden, men det er begrænset af, hvad vi overhovedet kan forestille os. Vi er nemlig altid omfattet af en bestemt mentalitet, der viser sig i de ord, begreber og billeder, som vi omgiver os med. Når man arbejder mentalitetshistorisk, er det grundlæggende at spørge, hvad det i det hele taget har været muligt for fortidens mennesker at tænke. I middelalderens samfund har det således været umuligt at forestille sig en verden uden Gud. Man kunne nok være uenig med kirkens udlægning af religionen, men en verden, hvor Gud ikke i alle forhold greb ind i menneskers hverdag, har været ganske utænkelig for den tids mennesker. Deri lå begrænsningen af deres mentale værktøj. Kongen og borgerne i Viborg lagde sig ud med kirken i 1500-tallet, men ikke med Gud. </w:t>
      </w:r>
    </w:p>
    <w:p w14:paraId="70800B2B" w14:textId="77777777" w:rsidR="009C7E86" w:rsidRDefault="009C7E86" w:rsidP="009C7E86">
      <w:pPr>
        <w:pStyle w:val="Default"/>
        <w:rPr>
          <w:sz w:val="23"/>
          <w:szCs w:val="23"/>
        </w:rPr>
      </w:pPr>
      <w:r>
        <w:rPr>
          <w:sz w:val="23"/>
          <w:szCs w:val="23"/>
        </w:rPr>
        <w:t xml:space="preserve">Kongens rolle, udover at udstede værnebreve til enkeltpersoner i deres kamp mod den katolske kirke, var at efterkomme nogle anmodninger fra bystyret i Viborg, og det var nogle ret afgørende og omvæltende handlinger, som kongen gav bystyret ret til at udføre. Der har uden tvivl været mere end blot religiøse idéer på spil. I et åbent brev af 29. december 1527 stadfæstede kongen byens ret til at ophæve nogle af dens gilder, for i stedet at bruge gildernes penge på at oprette et hospital for at komme deres elendige, fattige og syge til hjælp. Ved at efterkomme borgernes ønske overdrog han dermed et ansvar, som før var kirkens, til Viborgs borgere. På den vis træder kongen et skridt nærmere den reformatoriske side og lægger dermed yderligere afstand til den katolske gruppering i Viborg. Selv om borgerne også tidligere havde kunnet hjælpe til ved de danske byers hospitaler, var disse hospitalernes bygninger som regel en del af de danske klostre. </w:t>
      </w:r>
    </w:p>
    <w:p w14:paraId="7B396189" w14:textId="77777777" w:rsidR="009C7E86" w:rsidRDefault="009C7E86" w:rsidP="009C7E86">
      <w:pPr>
        <w:pStyle w:val="Default"/>
        <w:rPr>
          <w:color w:val="auto"/>
          <w:sz w:val="23"/>
          <w:szCs w:val="23"/>
        </w:rPr>
      </w:pPr>
      <w:r>
        <w:rPr>
          <w:sz w:val="23"/>
          <w:szCs w:val="23"/>
        </w:rPr>
        <w:t xml:space="preserve">I 1529 rettede borgerne og bystyret i Viborg endnu et angreb på den katolske fraktion i byen. Bystyret anmodede i et brev til kongen om at få lov til at benytte henholdsvis gråbrødrenes og sortebrødrenes klosterkirker som sognekirker, og herefter bad de om lov til at nedrive de øvrige sognekirker i området, som man ikke længere mente at have brug for. Den 23. februar sendte kongen sit svar, der fik en dramatisk efterfølgelse: </w:t>
      </w:r>
      <w:r>
        <w:rPr>
          <w:i/>
          <w:iCs/>
          <w:sz w:val="23"/>
          <w:szCs w:val="23"/>
        </w:rPr>
        <w:t xml:space="preserve">”… tha ere Wij ther tiill fredtz metth, atthij beholle samme graa brødhre och suorte brødhre kyrker tiill sogne kyrker och ødhe legge the andre vnyttige sogne kyrker ij etther by…”. </w:t>
      </w:r>
      <w:r>
        <w:rPr>
          <w:sz w:val="23"/>
          <w:szCs w:val="23"/>
        </w:rPr>
        <w:t xml:space="preserve">Selv om byen mente, at den havde for mange sognekirker, er </w:t>
      </w:r>
      <w:r>
        <w:rPr>
          <w:color w:val="auto"/>
          <w:sz w:val="23"/>
          <w:szCs w:val="23"/>
        </w:rPr>
        <w:t xml:space="preserve">det bemærkelsesværdigt, at man krævede endnu to kirker, og derefter blot ville bruge disse to kirker, mens man ødelagde resten af byens øvrige 12 sognekirker inden for en måned efter kong Frederiks svar. </w:t>
      </w:r>
    </w:p>
    <w:p w14:paraId="635FBAC8" w14:textId="77777777" w:rsidR="009C7E86" w:rsidRDefault="009C7E86" w:rsidP="009C7E86">
      <w:pPr>
        <w:pStyle w:val="Default"/>
        <w:rPr>
          <w:rFonts w:ascii="Calibri" w:hAnsi="Calibri" w:cs="Calibri"/>
          <w:i/>
          <w:iCs/>
          <w:color w:val="auto"/>
          <w:sz w:val="18"/>
          <w:szCs w:val="18"/>
        </w:rPr>
      </w:pPr>
    </w:p>
    <w:p w14:paraId="6A8D67CA" w14:textId="77777777" w:rsidR="009C7E86" w:rsidRDefault="009C7E86" w:rsidP="009C7E86">
      <w:pPr>
        <w:pStyle w:val="Default"/>
        <w:rPr>
          <w:rFonts w:ascii="Calibri" w:hAnsi="Calibri" w:cs="Calibri"/>
          <w:i/>
          <w:iCs/>
          <w:color w:val="auto"/>
          <w:sz w:val="18"/>
          <w:szCs w:val="18"/>
        </w:rPr>
      </w:pPr>
      <w:r w:rsidRPr="009C7E86">
        <w:rPr>
          <w:rFonts w:ascii="Calibri" w:hAnsi="Calibri" w:cs="Calibri"/>
          <w:i/>
          <w:iCs/>
          <w:noProof/>
          <w:color w:val="auto"/>
          <w:sz w:val="18"/>
          <w:szCs w:val="18"/>
          <w:lang w:eastAsia="da-DK"/>
        </w:rPr>
        <w:lastRenderedPageBreak/>
        <w:drawing>
          <wp:inline distT="0" distB="0" distL="0" distR="0" wp14:anchorId="0876AE5B" wp14:editId="4C0B9201">
            <wp:extent cx="6120130" cy="4066256"/>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0130" cy="4066256"/>
                    </a:xfrm>
                    <a:prstGeom prst="rect">
                      <a:avLst/>
                    </a:prstGeom>
                    <a:noFill/>
                    <a:ln>
                      <a:noFill/>
                    </a:ln>
                  </pic:spPr>
                </pic:pic>
              </a:graphicData>
            </a:graphic>
          </wp:inline>
        </w:drawing>
      </w:r>
    </w:p>
    <w:p w14:paraId="4DD3A81E" w14:textId="77777777" w:rsidR="009C7E86" w:rsidRDefault="009C7E86" w:rsidP="009C7E86">
      <w:pPr>
        <w:pStyle w:val="Default"/>
        <w:rPr>
          <w:color w:val="auto"/>
          <w:sz w:val="18"/>
          <w:szCs w:val="18"/>
        </w:rPr>
      </w:pPr>
      <w:r>
        <w:rPr>
          <w:rFonts w:ascii="Calibri" w:hAnsi="Calibri" w:cs="Calibri"/>
          <w:i/>
          <w:iCs/>
          <w:color w:val="auto"/>
          <w:sz w:val="18"/>
          <w:szCs w:val="18"/>
        </w:rPr>
        <w:t xml:space="preserve">Sortebrødre kirke. Foto: forfatterne. </w:t>
      </w:r>
    </w:p>
    <w:p w14:paraId="4BE56AC7" w14:textId="77777777" w:rsidR="009C7E86" w:rsidRDefault="009C7E86" w:rsidP="009C7E86">
      <w:pPr>
        <w:pStyle w:val="Default"/>
        <w:rPr>
          <w:color w:val="auto"/>
          <w:sz w:val="23"/>
          <w:szCs w:val="23"/>
        </w:rPr>
      </w:pPr>
      <w:r>
        <w:rPr>
          <w:color w:val="auto"/>
          <w:sz w:val="23"/>
          <w:szCs w:val="23"/>
        </w:rPr>
        <w:t xml:space="preserve">At borgerne direkte gik ind og bad om lov til at benytte munkenes klosterkirker, kan derfor næsten kun tolkes som et direkte angreb på den katolske kirkes forsvarere i byen. Også det faktum, at denne beslutning helt gik biskoppen og kapitlet forbi, vidner om, at der virkelig var tale om et træk rettet imod den katolske kirke og ikke blot en fornuftig beslutning, i og med at man mente, at man ikke kunne administrere alle sognets kirker. Med denne afgørelse fratog kongen endnu engang den katolske kirke i Viborg et domæne, der hidtil havde været katolikkernes, og overdrog det i stedet til byens borgere og bystyre, som udgjorde den mest centrale del af de reformatoriske tilhængere i Viborg. På det tidspunkt ydede kongen stort set al den hjælp, som han kunne til Reformationens gennemførelse i Viborg. Skønt støtten stadig var passiv og som oftest skete på opfordring af byens borgere, var de handlinger, som kongen gav byen sin tilladelse til at udføre af så afgørende karakter, at det blev fundamentet for, at Reformationen i Viborg kunne realiseres så hurtigt, som den blev. </w:t>
      </w:r>
    </w:p>
    <w:p w14:paraId="56F4C276" w14:textId="0A1F5014" w:rsidR="009C7E86" w:rsidRDefault="009C7E86" w:rsidP="00407E79">
      <w:pPr>
        <w:pStyle w:val="Default"/>
        <w:rPr>
          <w:color w:val="auto"/>
          <w:sz w:val="23"/>
          <w:szCs w:val="23"/>
        </w:rPr>
      </w:pPr>
      <w:r>
        <w:rPr>
          <w:color w:val="auto"/>
          <w:sz w:val="23"/>
          <w:szCs w:val="23"/>
        </w:rPr>
        <w:t xml:space="preserve">Efter 1530 hører man ikke rigtigt længere om menige munke og præster. Deres rolle i magtkampen er udspillet ved, at deres kirker og klostre var blevet overtaget eller revet ned i starten af 1527. Domkirkereformen blev endeligt udformet i 1530 og omtales ofte som en aftale, der blev indgået mellem Viborgs evangeliske fraktion og de katolske kannikker og præster ved domkirken, men at det var en frivilligt indgået aftale mellem de to parter, er tvivlsomt, selv om store dele af kapitlet langsomt lod sig lokke af de lutherske tanker. Med alle deres forstyrrelser af messer, og overtagelser af den katolske kirkes bygninger og ansvar, har det katolske slæng næppe haft andet valg end til sidst at </w:t>
      </w:r>
      <w:r>
        <w:rPr>
          <w:color w:val="auto"/>
          <w:sz w:val="23"/>
          <w:szCs w:val="23"/>
        </w:rPr>
        <w:lastRenderedPageBreak/>
        <w:t xml:space="preserve">overgive sig til Viborgs borgere og acceptere de ændringer, der fulgte i kølvandet på domkirkereformen. </w:t>
      </w:r>
      <w:r w:rsidRPr="009C7E86">
        <w:rPr>
          <w:noProof/>
          <w:color w:val="auto"/>
          <w:sz w:val="23"/>
          <w:szCs w:val="23"/>
          <w:lang w:eastAsia="da-DK"/>
        </w:rPr>
        <w:drawing>
          <wp:inline distT="0" distB="0" distL="0" distR="0" wp14:anchorId="72ED0BFF" wp14:editId="0AF23B76">
            <wp:extent cx="6120130" cy="4066256"/>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4066256"/>
                    </a:xfrm>
                    <a:prstGeom prst="rect">
                      <a:avLst/>
                    </a:prstGeom>
                    <a:noFill/>
                    <a:ln>
                      <a:noFill/>
                    </a:ln>
                  </pic:spPr>
                </pic:pic>
              </a:graphicData>
            </a:graphic>
          </wp:inline>
        </w:drawing>
      </w:r>
    </w:p>
    <w:p w14:paraId="06D50F73" w14:textId="77777777" w:rsidR="009C7E86" w:rsidRDefault="009C7E86" w:rsidP="009C7E86">
      <w:pPr>
        <w:pStyle w:val="Default"/>
        <w:rPr>
          <w:color w:val="auto"/>
          <w:sz w:val="18"/>
          <w:szCs w:val="18"/>
        </w:rPr>
      </w:pPr>
      <w:r>
        <w:rPr>
          <w:rFonts w:ascii="Calibri" w:hAnsi="Calibri" w:cs="Calibri"/>
          <w:i/>
          <w:iCs/>
          <w:color w:val="auto"/>
          <w:sz w:val="18"/>
          <w:szCs w:val="18"/>
        </w:rPr>
        <w:t xml:space="preserve">Domkirken (foto: forfatterne) </w:t>
      </w:r>
    </w:p>
    <w:p w14:paraId="36BE5571" w14:textId="77777777" w:rsidR="009C7E86" w:rsidRDefault="009C7E86" w:rsidP="009C7E86">
      <w:pPr>
        <w:pStyle w:val="Default"/>
        <w:rPr>
          <w:color w:val="auto"/>
          <w:sz w:val="23"/>
          <w:szCs w:val="23"/>
        </w:rPr>
      </w:pPr>
      <w:r>
        <w:rPr>
          <w:color w:val="auto"/>
          <w:sz w:val="23"/>
          <w:szCs w:val="23"/>
        </w:rPr>
        <w:t xml:space="preserve">Den 2. september senere på året 1530 sendte borgerne i Viborg et brev til Frederik den 1. indeholdende den plan for det evangeliske gudstjenesteprogram, som fremover skulle gælde ved byens domkirke. Selv om borgerne i Viborg selv havde udarbejdet og indgået aftalen med de katolske præster ved domkirken, gjorde kongen i sidste ende domkirkereformen gældende ved at stadfæste den, og han godkendte dermed det endelige skift fra katolicisme til protestantisme i Viborg. </w:t>
      </w:r>
    </w:p>
    <w:p w14:paraId="3EE09F66" w14:textId="77777777" w:rsidR="009C7E86" w:rsidRDefault="009C7E86" w:rsidP="009C7E86">
      <w:pPr>
        <w:pStyle w:val="Default"/>
        <w:rPr>
          <w:rFonts w:ascii="Calibri" w:hAnsi="Calibri" w:cs="Calibri"/>
          <w:color w:val="auto"/>
          <w:sz w:val="22"/>
          <w:szCs w:val="22"/>
        </w:rPr>
      </w:pPr>
      <w:r>
        <w:rPr>
          <w:color w:val="auto"/>
          <w:sz w:val="23"/>
          <w:szCs w:val="23"/>
        </w:rPr>
        <w:t xml:space="preserve">Man kunne argumentere for at denne ene begivenhed var den mest afgørende for gennemførelsen af Reformationen i Viborg, selv om den blev hjulpet på vej af mange store begivenheder i de foregående år. Hvis man derfor vil mene, at stadfæstelsen af domkirkereformen er en af de mest afgørende betingelser for, at Reformationen blev gennemført i Viborg, må man derfor også mene, at den konge som har stadfæstet den, må have haft afgørende betydning for skiftet fra katolicisme til protestantisme i byen. Da kongen fik muligheden, støttede han op om Reformationen og dens gennemførelse, i Viborg såvel som i landets øvrige byer, da han ville stå langt stærkere som konge i et protestantisk land, der anså kongen for den af Gud øverst indsatte øvrighed, end i et katolsk orienteret land, hvor kirken ville blive stillet mere ligevægtigt med kongen. Man kan også vælge at understrege netop mulighederne og dermed strukturerne, som gav kongen et rum at handle i. </w:t>
      </w:r>
      <w:r>
        <w:rPr>
          <w:rFonts w:ascii="Calibri" w:hAnsi="Calibri" w:cs="Calibri"/>
          <w:color w:val="auto"/>
          <w:sz w:val="22"/>
          <w:szCs w:val="22"/>
        </w:rPr>
        <w:t xml:space="preserve">29 </w:t>
      </w:r>
    </w:p>
    <w:p w14:paraId="4A4FF39B" w14:textId="77777777" w:rsidR="009C7E86" w:rsidRDefault="009C7E86" w:rsidP="009C7E86">
      <w:pPr>
        <w:pStyle w:val="Default"/>
        <w:rPr>
          <w:color w:val="auto"/>
        </w:rPr>
      </w:pPr>
    </w:p>
    <w:sectPr w:rsidR="009C7E86">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E86"/>
    <w:rsid w:val="003156F9"/>
    <w:rsid w:val="00407E79"/>
    <w:rsid w:val="009C7E86"/>
    <w:rsid w:val="00AB6AD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769AC"/>
  <w15:chartTrackingRefBased/>
  <w15:docId w15:val="{D00C0753-C824-42E3-8151-927090313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efault">
    <w:name w:val="Default"/>
    <w:rsid w:val="009C7E8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921</Words>
  <Characters>5620</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Larsen</dc:creator>
  <cp:keywords/>
  <dc:description/>
  <cp:lastModifiedBy>Thomas Hemming Larsen</cp:lastModifiedBy>
  <cp:revision>2</cp:revision>
  <dcterms:created xsi:type="dcterms:W3CDTF">2017-12-06T10:26:00Z</dcterms:created>
  <dcterms:modified xsi:type="dcterms:W3CDTF">2024-05-29T12:15:00Z</dcterms:modified>
</cp:coreProperties>
</file>