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D161" w14:textId="49D832D7" w:rsidR="00E70DB8" w:rsidRPr="00200D73" w:rsidRDefault="00E70DB8" w:rsidP="00200D73">
      <w:pPr>
        <w:shd w:val="clear" w:color="auto" w:fill="FFFFFF"/>
        <w:spacing w:line="360" w:lineRule="auto"/>
        <w:outlineLvl w:val="0"/>
        <w:rPr>
          <w:rFonts w:ascii="Aptos" w:eastAsia="Times New Roman" w:hAnsi="Aptos" w:cs="Open Sans"/>
          <w:b/>
          <w:bCs/>
          <w:color w:val="333333"/>
          <w:kern w:val="36"/>
          <w:sz w:val="22"/>
          <w:szCs w:val="22"/>
          <w:lang w:eastAsia="da-DK"/>
        </w:rPr>
      </w:pPr>
      <w:r w:rsidRPr="00200D73">
        <w:rPr>
          <w:rFonts w:ascii="Aptos" w:eastAsia="Times New Roman" w:hAnsi="Aptos" w:cs="Open Sans"/>
          <w:b/>
          <w:bCs/>
          <w:color w:val="333333"/>
          <w:kern w:val="36"/>
          <w:sz w:val="22"/>
          <w:szCs w:val="22"/>
          <w:lang w:eastAsia="da-DK"/>
        </w:rPr>
        <w:t>Uddrag af ”Den kolde krig”</w:t>
      </w:r>
    </w:p>
    <w:p w14:paraId="4A2C029C" w14:textId="0E6BE898" w:rsidR="00E70DB8" w:rsidRPr="00200D73" w:rsidRDefault="00E70DB8" w:rsidP="00200D73">
      <w:pPr>
        <w:shd w:val="clear" w:color="auto" w:fill="FFFFFF"/>
        <w:spacing w:line="360" w:lineRule="auto"/>
        <w:outlineLvl w:val="0"/>
        <w:rPr>
          <w:rFonts w:ascii="Aptos" w:eastAsia="Times New Roman" w:hAnsi="Aptos" w:cs="Open Sans"/>
          <w:b/>
          <w:bCs/>
          <w:color w:val="333333"/>
          <w:kern w:val="36"/>
          <w:sz w:val="22"/>
          <w:szCs w:val="22"/>
          <w:lang w:eastAsia="da-DK"/>
        </w:rPr>
      </w:pPr>
      <w:r w:rsidRPr="00200D73">
        <w:rPr>
          <w:rFonts w:ascii="Aptos" w:eastAsia="Times New Roman" w:hAnsi="Aptos" w:cs="Open Sans"/>
          <w:b/>
          <w:bCs/>
          <w:color w:val="333333"/>
          <w:kern w:val="36"/>
          <w:sz w:val="22"/>
          <w:szCs w:val="22"/>
          <w:lang w:eastAsia="da-DK"/>
        </w:rPr>
        <w:t>FORTOLKNINGER AF AFSLUTNINGEN PÅ DEN KOLDE KRIG</w:t>
      </w:r>
    </w:p>
    <w:p w14:paraId="03FFEAE5" w14:textId="1428CC1A"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r w:rsidRPr="00200D73">
        <w:rPr>
          <w:rFonts w:ascii="Aptos" w:hAnsi="Aptos" w:cs="Open Sans"/>
          <w:color w:val="333333"/>
          <w:sz w:val="22"/>
          <w:szCs w:val="22"/>
        </w:rPr>
        <w:t>Efter afslutningen på den kolde krig har historikere beskæftiget sig med årsagerne til dens ret hurtige og forholdsvis fredelige afslutning. Her handler det ikke om skyld, men om hvem der havde æren! Her er der også forskellige bud. Den mest udbredte forklaring i Vesten er, at USA, markedsøkonomi og demokrati vandt den kolde krig.</w:t>
      </w:r>
    </w:p>
    <w:p w14:paraId="0BE31475" w14:textId="77777777"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r w:rsidRPr="00200D73">
        <w:rPr>
          <w:rFonts w:ascii="Aptos" w:hAnsi="Aptos" w:cs="Open Sans"/>
          <w:color w:val="333333"/>
          <w:sz w:val="22"/>
          <w:szCs w:val="22"/>
        </w:rPr>
        <w:t>En almindelig amerikansk version er, at den udenrigspolitik, som Ronald Reagan førte i 1980’erne, var af afgørende betydning. USA oprustede, og Sovjetunionen, der var svækket af engagementet i Afghanistan, kunne ikke følge med. Sovjetunionen blev presset til at slå ind på en nedrustningspolitik for at forhindre et sammenbrud af hele sovjetsystemet. Alligevel brød Sovjetunionen sammen to år efter Murens fald.</w:t>
      </w:r>
    </w:p>
    <w:p w14:paraId="21948800" w14:textId="77777777"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r w:rsidRPr="00200D73">
        <w:rPr>
          <w:rFonts w:ascii="Aptos" w:hAnsi="Aptos" w:cs="Open Sans"/>
          <w:color w:val="333333"/>
          <w:sz w:val="22"/>
          <w:szCs w:val="22"/>
        </w:rPr>
        <w:t xml:space="preserve">I den gængse europæiske version spiller den sidste sovjetiske leder Mikhail Gorbatjov en hovedrolle i afviklingen af den kolde krig. Gorbatjov ville modernisere og demokratisere Sovjetunionen. Han ville frigøre de enorme ressourcer, som Sovjetunionen brugte på våbenkapløbet, så de kunne anvendes til øget velfærd og forbrugsgoder til befolkningen. Derfor slog han ind på en afspændingspolitik, som USA accepterede, og det førte til reel afspænding. Men Gorbatjov gik et skridt videre og ophævede som nævnt </w:t>
      </w:r>
      <w:proofErr w:type="spellStart"/>
      <w:r w:rsidRPr="00200D73">
        <w:rPr>
          <w:rFonts w:ascii="Aptos" w:hAnsi="Aptos" w:cs="Open Sans"/>
          <w:color w:val="333333"/>
          <w:sz w:val="22"/>
          <w:szCs w:val="22"/>
        </w:rPr>
        <w:t>Brezjnevdoktrinen</w:t>
      </w:r>
      <w:proofErr w:type="spellEnd"/>
      <w:r w:rsidRPr="00200D73">
        <w:rPr>
          <w:rFonts w:ascii="Aptos" w:hAnsi="Aptos" w:cs="Open Sans"/>
          <w:color w:val="333333"/>
          <w:sz w:val="22"/>
          <w:szCs w:val="22"/>
        </w:rPr>
        <w:t>, hvilket førte til 1989-revolutionen i de østeuropæiske lande. Det betød opløsningen af det kommunistiske Østeuropa og en genforening af det delte Tyskland. Dermed var den kolde krig ophørt, selv om Sovjetunionen først selv gik i opløsning i december 1991.</w:t>
      </w:r>
    </w:p>
    <w:p w14:paraId="5A322404" w14:textId="77777777"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r w:rsidRPr="00200D73">
        <w:rPr>
          <w:rFonts w:ascii="Aptos" w:hAnsi="Aptos" w:cs="Open Sans"/>
          <w:color w:val="333333"/>
          <w:sz w:val="22"/>
          <w:szCs w:val="22"/>
        </w:rPr>
        <w:t xml:space="preserve">Begge disse forklaringer kombinerer økonomiske faktorer med, at enkeltpersoner undertiden kan have afgørende betydning for historiens gang. Hvis man fokuserer på folkets betydning for historiens udvikling, kunne man tillægge fredsbevægelserne i Vesteuropa og systemkritikerne i Østeuropa betydning. I Vesten var disse grupper særligt aktive i 1980’erne, hvor der var stor folkelig modstand mod NATO’s dobbeltbeslutning fra 1979. Der blev dannet fredsgrupper, som lavede arrangementer på tværs af Jerntæppet, fx de årlige </w:t>
      </w:r>
      <w:proofErr w:type="spellStart"/>
      <w:r w:rsidRPr="00200D73">
        <w:rPr>
          <w:rFonts w:ascii="Aptos" w:hAnsi="Aptos" w:cs="Open Sans"/>
          <w:color w:val="333333"/>
          <w:sz w:val="22"/>
          <w:szCs w:val="22"/>
        </w:rPr>
        <w:t>Next</w:t>
      </w:r>
      <w:proofErr w:type="spellEnd"/>
      <w:r w:rsidRPr="00200D73">
        <w:rPr>
          <w:rFonts w:ascii="Aptos" w:hAnsi="Aptos" w:cs="Open Sans"/>
          <w:color w:val="333333"/>
          <w:sz w:val="22"/>
          <w:szCs w:val="22"/>
        </w:rPr>
        <w:t xml:space="preserve"> Stop-fredsmøder, som i 1989 foregik i Moskva.</w:t>
      </w:r>
    </w:p>
    <w:p w14:paraId="509C9A40" w14:textId="77777777"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r w:rsidRPr="00200D73">
        <w:rPr>
          <w:rFonts w:ascii="Aptos" w:hAnsi="Aptos" w:cs="Open Sans"/>
          <w:color w:val="333333"/>
          <w:sz w:val="22"/>
          <w:szCs w:val="22"/>
        </w:rPr>
        <w:t>I Østeuropa trak bevægelser som menneskerettighedsbevægelsen Charta 77 i Tjekkoslovakiet og den selvstændige fagforening Solidaritet i Polen i samme retning. De krævede forbedrede levevilkår, demokrati og overholdelse af menneskerettighederne.</w:t>
      </w:r>
    </w:p>
    <w:p w14:paraId="22D65933" w14:textId="06234D2F"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r w:rsidRPr="00200D73">
        <w:rPr>
          <w:rFonts w:ascii="Aptos" w:hAnsi="Aptos" w:cs="Open Sans"/>
          <w:color w:val="333333"/>
          <w:sz w:val="22"/>
          <w:szCs w:val="22"/>
        </w:rPr>
        <w:t xml:space="preserve">Utilfredsheden blandt befolkningerne i Sovjetunionen og i folkedemokratierne havde været der hele tiden, men voksede i løbet af 1980’erne. De østeuropæiske lande var økonomisk tilbagestående og </w:t>
      </w:r>
      <w:r w:rsidRPr="00200D73">
        <w:rPr>
          <w:rFonts w:ascii="Aptos" w:hAnsi="Aptos" w:cs="Open Sans"/>
          <w:color w:val="333333"/>
          <w:sz w:val="22"/>
          <w:szCs w:val="22"/>
        </w:rPr>
        <w:lastRenderedPageBreak/>
        <w:t>svækkede og kunne ikke længere regne med Sovjetunionens støtte. Under disse forhold kollapsede det kommunistiske Østeuropa i 1989-revolutionen</w:t>
      </w:r>
    </w:p>
    <w:p w14:paraId="1354A6D8" w14:textId="31916ABC" w:rsidR="00E70DB8" w:rsidRPr="00200D73" w:rsidRDefault="00E70DB8" w:rsidP="00200D73">
      <w:pPr>
        <w:pStyle w:val="NormalWeb"/>
        <w:shd w:val="clear" w:color="auto" w:fill="FFFFFF"/>
        <w:spacing w:before="0" w:beforeAutospacing="0" w:after="240" w:afterAutospacing="0" w:line="360" w:lineRule="auto"/>
        <w:rPr>
          <w:rFonts w:ascii="Aptos" w:hAnsi="Aptos" w:cs="Open Sans"/>
          <w:color w:val="333333"/>
          <w:sz w:val="22"/>
          <w:szCs w:val="22"/>
        </w:rPr>
      </w:pPr>
    </w:p>
    <w:p w14:paraId="32B885F7" w14:textId="0DBFAA91" w:rsidR="00E70DB8" w:rsidRPr="00200D73" w:rsidRDefault="00E70DB8" w:rsidP="00200D73">
      <w:pPr>
        <w:pStyle w:val="Overskrift2"/>
      </w:pPr>
      <w:r w:rsidRPr="00200D73">
        <w:t>Uddrag af Fokus 2: Fra oplysningstid til europæisk ekspansion</w:t>
      </w:r>
    </w:p>
    <w:p w14:paraId="2D337527" w14:textId="2C42FD94" w:rsidR="00E70DB8" w:rsidRPr="00200D73" w:rsidRDefault="00E70DB8" w:rsidP="00200D73">
      <w:pPr>
        <w:pStyle w:val="Overskrift1"/>
        <w:shd w:val="clear" w:color="auto" w:fill="FFFFFF"/>
        <w:spacing w:before="0" w:beforeAutospacing="0" w:after="0" w:afterAutospacing="0" w:line="360" w:lineRule="auto"/>
        <w:rPr>
          <w:rFonts w:ascii="Aptos" w:hAnsi="Aptos" w:cs="Open Sans"/>
          <w:color w:val="333333"/>
          <w:sz w:val="22"/>
          <w:szCs w:val="22"/>
        </w:rPr>
      </w:pPr>
      <w:r w:rsidRPr="00200D73">
        <w:rPr>
          <w:rFonts w:ascii="Aptos" w:hAnsi="Aptos" w:cs="Open Sans"/>
          <w:color w:val="333333"/>
          <w:sz w:val="22"/>
          <w:szCs w:val="22"/>
        </w:rPr>
        <w:t>De østeuropæiske socialistiske systemers fald</w:t>
      </w:r>
    </w:p>
    <w:p w14:paraId="74F232E4" w14:textId="77777777" w:rsidR="00E70DB8" w:rsidRPr="00200D73" w:rsidRDefault="00E70DB8" w:rsidP="00200D73">
      <w:pPr>
        <w:shd w:val="clear" w:color="auto" w:fill="FFFFFF"/>
        <w:spacing w:after="240" w:line="360" w:lineRule="auto"/>
        <w:rPr>
          <w:rFonts w:ascii="Aptos" w:eastAsia="Times New Roman" w:hAnsi="Aptos" w:cs="Open Sans"/>
          <w:color w:val="333333"/>
          <w:sz w:val="22"/>
          <w:szCs w:val="22"/>
          <w:lang w:eastAsia="da-DK"/>
        </w:rPr>
      </w:pPr>
      <w:r w:rsidRPr="00200D73">
        <w:rPr>
          <w:rFonts w:ascii="Aptos" w:eastAsia="Times New Roman" w:hAnsi="Aptos" w:cs="Open Sans"/>
          <w:color w:val="333333"/>
          <w:sz w:val="22"/>
          <w:szCs w:val="22"/>
          <w:lang w:eastAsia="da-DK"/>
        </w:rPr>
        <w:t>I 1985 valgte det sovjetiske kommunistpartis øverste ledelse en ny partiformand og regeringschef, Mikhail Gorbatjov i forventning om, at han ville sætte en reformproces i gang. Det skulle ske på en måde, der styrkede systemet og ikke svækkede det. Gorbatjov begyndte et omfattende politisk og økonomisk reformprogram med større politisk åbenhed (russisk: glasnost) og decentralisering og fornyelse af økonomien (russisk: perestrojka). Resultaterne var dog skuffende. I stedet for at få gang i væksten faldt produktionen yderligere, og den friere politiske debat betød øget kritik af den kommunistiske ledelse, og undergravede dens mulighed for tilslutning til fortsatte reformer. En afgørende forandring var at Gorbatjov tog afstand fra Bresjnev-doktrinen og markerede at Sovjetunionen ikke længere ville gribe militært ind i de øst- og centraleuropæiske stater.</w:t>
      </w:r>
    </w:p>
    <w:p w14:paraId="0A9753D6" w14:textId="77777777" w:rsidR="00E70DB8" w:rsidRPr="00200D73" w:rsidRDefault="00E70DB8" w:rsidP="00200D73">
      <w:pPr>
        <w:shd w:val="clear" w:color="auto" w:fill="FFFFFF"/>
        <w:spacing w:after="240" w:line="360" w:lineRule="auto"/>
        <w:rPr>
          <w:rFonts w:ascii="Aptos" w:eastAsia="Times New Roman" w:hAnsi="Aptos" w:cs="Open Sans"/>
          <w:color w:val="333333"/>
          <w:sz w:val="22"/>
          <w:szCs w:val="22"/>
          <w:lang w:eastAsia="da-DK"/>
        </w:rPr>
      </w:pPr>
      <w:r w:rsidRPr="00200D73">
        <w:rPr>
          <w:rFonts w:ascii="Aptos" w:eastAsia="Times New Roman" w:hAnsi="Aptos" w:cs="Open Sans"/>
          <w:color w:val="333333"/>
          <w:sz w:val="22"/>
          <w:szCs w:val="22"/>
          <w:lang w:eastAsia="da-DK"/>
        </w:rPr>
        <w:t>Udviklingen mod de kommunistiske regimers fald begyndte i Polen i 1979-80. Strejker på Leninskibsværftet i Gdansk skabte en omfattende tilslutning til den oppositionelle fagforening, Solidaritet. En tilslutning der blev så stor, at det polske kommunistparti følte sig tvunget til at indgå aftaler med Solidaritet. Ikke kun om løn og arbejdsforhold, men også om fødevarepriser, lempelse af censuren og borgernes ret til at danne fagforeninger. Dermed blev kommunistpartiets magtmonopol udfordret.</w:t>
      </w:r>
    </w:p>
    <w:p w14:paraId="6A77E7B8" w14:textId="5BB31B57" w:rsidR="00E70DB8" w:rsidRPr="00200D73" w:rsidRDefault="00E70DB8" w:rsidP="00200D73">
      <w:pPr>
        <w:shd w:val="clear" w:color="auto" w:fill="FFFFFF"/>
        <w:spacing w:line="360" w:lineRule="auto"/>
        <w:rPr>
          <w:rFonts w:ascii="Aptos" w:eastAsia="Times New Roman" w:hAnsi="Aptos" w:cs="Open Sans"/>
          <w:color w:val="333333"/>
          <w:sz w:val="22"/>
          <w:szCs w:val="22"/>
          <w:lang w:eastAsia="da-DK"/>
        </w:rPr>
      </w:pPr>
      <w:r w:rsidRPr="00200D73">
        <w:rPr>
          <w:rFonts w:ascii="Aptos" w:eastAsia="Times New Roman" w:hAnsi="Aptos" w:cs="Open Sans"/>
          <w:noProof/>
          <w:color w:val="252525"/>
          <w:sz w:val="22"/>
          <w:szCs w:val="22"/>
          <w:lang w:eastAsia="da-DK"/>
        </w:rPr>
        <w:lastRenderedPageBreak/>
        <w:drawing>
          <wp:inline distT="0" distB="0" distL="0" distR="0" wp14:anchorId="6F3C5619" wp14:editId="1B670EE5">
            <wp:extent cx="6081395" cy="4062730"/>
            <wp:effectExtent l="0" t="0" r="1905" b="1270"/>
            <wp:docPr id="2" name="Billede 2" descr="Et billede, der indeholder udendørs, himmel, træ, person&#10;&#10;Automatisk genereret beskrivel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udendørs, himmel, træ, person&#10;&#10;Automatisk genereret beskrivel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1395" cy="4062730"/>
                    </a:xfrm>
                    <a:prstGeom prst="rect">
                      <a:avLst/>
                    </a:prstGeom>
                    <a:noFill/>
                    <a:ln>
                      <a:noFill/>
                    </a:ln>
                  </pic:spPr>
                </pic:pic>
              </a:graphicData>
            </a:graphic>
          </wp:inline>
        </w:drawing>
      </w:r>
    </w:p>
    <w:p w14:paraId="150179C7" w14:textId="77777777" w:rsidR="00E70DB8" w:rsidRPr="00200D73" w:rsidRDefault="00E70DB8" w:rsidP="00200D73">
      <w:pPr>
        <w:shd w:val="clear" w:color="auto" w:fill="FFFFFF"/>
        <w:spacing w:line="360" w:lineRule="auto"/>
        <w:rPr>
          <w:rFonts w:ascii="Aptos" w:eastAsia="Times New Roman" w:hAnsi="Aptos" w:cs="Open Sans"/>
          <w:color w:val="666666"/>
          <w:sz w:val="22"/>
          <w:szCs w:val="22"/>
          <w:lang w:eastAsia="da-DK"/>
        </w:rPr>
      </w:pPr>
      <w:r w:rsidRPr="00200D73">
        <w:rPr>
          <w:rFonts w:ascii="Aptos" w:eastAsia="Times New Roman" w:hAnsi="Aptos" w:cs="Open Sans"/>
          <w:i/>
          <w:iCs/>
          <w:color w:val="666666"/>
          <w:sz w:val="22"/>
          <w:szCs w:val="22"/>
          <w:lang w:eastAsia="da-DK"/>
        </w:rPr>
        <w:t>Solidaritets formand Lech Walesa bæres i triumf efter 18 dages sejrrig strejke. August 1980.</w:t>
      </w:r>
    </w:p>
    <w:p w14:paraId="74A98B66" w14:textId="77777777" w:rsidR="00E70DB8" w:rsidRPr="00200D73" w:rsidRDefault="00E70DB8" w:rsidP="00200D73">
      <w:pPr>
        <w:shd w:val="clear" w:color="auto" w:fill="FFFFFF"/>
        <w:spacing w:line="360" w:lineRule="auto"/>
        <w:rPr>
          <w:rFonts w:ascii="Aptos" w:eastAsia="Times New Roman" w:hAnsi="Aptos" w:cs="Open Sans"/>
          <w:color w:val="777777"/>
          <w:sz w:val="22"/>
          <w:szCs w:val="22"/>
          <w:lang w:eastAsia="da-DK"/>
        </w:rPr>
      </w:pPr>
      <w:proofErr w:type="spellStart"/>
      <w:r w:rsidRPr="00200D73">
        <w:rPr>
          <w:rFonts w:ascii="Aptos" w:eastAsia="Times New Roman" w:hAnsi="Aptos" w:cs="Open Sans"/>
          <w:color w:val="777777"/>
          <w:sz w:val="22"/>
          <w:szCs w:val="22"/>
          <w:lang w:eastAsia="da-DK"/>
        </w:rPr>
        <w:t>Scanpix</w:t>
      </w:r>
      <w:proofErr w:type="spellEnd"/>
    </w:p>
    <w:p w14:paraId="2755CC88" w14:textId="77777777" w:rsidR="00E70DB8" w:rsidRPr="00200D73" w:rsidRDefault="00E70DB8" w:rsidP="00200D73">
      <w:pPr>
        <w:shd w:val="clear" w:color="auto" w:fill="FFFFFF"/>
        <w:spacing w:after="240" w:line="360" w:lineRule="auto"/>
        <w:rPr>
          <w:rFonts w:ascii="Aptos" w:eastAsia="Times New Roman" w:hAnsi="Aptos" w:cs="Open Sans"/>
          <w:color w:val="333333"/>
          <w:sz w:val="22"/>
          <w:szCs w:val="22"/>
          <w:lang w:eastAsia="da-DK"/>
        </w:rPr>
      </w:pPr>
      <w:r w:rsidRPr="00200D73">
        <w:rPr>
          <w:rFonts w:ascii="Aptos" w:eastAsia="Times New Roman" w:hAnsi="Aptos" w:cs="Open Sans"/>
          <w:color w:val="333333"/>
          <w:sz w:val="22"/>
          <w:szCs w:val="22"/>
          <w:lang w:eastAsia="da-DK"/>
        </w:rPr>
        <w:t>Polakkernes stærke tilhørsforhold til den katolske kirke, og valget af en polak til pave i 1978, styrkede også den folkelige organisering uden om kommunistpartiet. I 1981 greb den polske hær ind og indførte undtagelsestilstand efter trusler om sovjetisk militær indgriben i Polen. Men det kommunistiske parti og hæren fik aldrig fuldstændig kontrol med udviklingen, og Solidaritet og oppositionen fortsatte den politiske kamp. I begyndelsen af 1989 var den polske økonomi så anstrengt, at kommunistpartiet ønskede en forhandlingsaftale med oppositionen, der kunne skabe folkelig accept af økonomiske reformer. Der blev aftalt en begrænset mulighed for frie valg til nogle af pladserne til parlamentet, og det efterfølgende valg blev en katastrofe for kommunistpartiet. Præsidenten accepterede i sommeren 1989 en regering ledet af ikke- kommunister. Det skete uden at Sovjetunionen greb ind.</w:t>
      </w:r>
    </w:p>
    <w:p w14:paraId="21943647" w14:textId="285B8C25" w:rsidR="00E70DB8" w:rsidRPr="00200D73" w:rsidRDefault="00E70DB8" w:rsidP="00200D73">
      <w:pPr>
        <w:shd w:val="clear" w:color="auto" w:fill="FFFFFF"/>
        <w:spacing w:line="360" w:lineRule="auto"/>
        <w:rPr>
          <w:rFonts w:ascii="Aptos" w:eastAsia="Times New Roman" w:hAnsi="Aptos" w:cs="Open Sans"/>
          <w:color w:val="333333"/>
          <w:sz w:val="22"/>
          <w:szCs w:val="22"/>
          <w:lang w:eastAsia="da-DK"/>
        </w:rPr>
      </w:pPr>
      <w:r w:rsidRPr="00200D73">
        <w:rPr>
          <w:rFonts w:ascii="Aptos" w:eastAsia="Times New Roman" w:hAnsi="Aptos" w:cs="Open Sans"/>
          <w:noProof/>
          <w:color w:val="252525"/>
          <w:sz w:val="22"/>
          <w:szCs w:val="22"/>
          <w:lang w:eastAsia="da-DK"/>
        </w:rPr>
        <w:lastRenderedPageBreak/>
        <w:drawing>
          <wp:inline distT="0" distB="0" distL="0" distR="0" wp14:anchorId="78BFE647" wp14:editId="2E6D0B69">
            <wp:extent cx="3044825" cy="2018665"/>
            <wp:effectExtent l="0" t="0" r="3175" b="635"/>
            <wp:docPr id="1" name="Billede 1" descr="Et billede, der indeholder person, mand, koncertorkester&#10;&#10;Automatisk genereret beskrivel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and, koncertorkester&#10;&#10;Automatisk genereret beskrivel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825" cy="2018665"/>
                    </a:xfrm>
                    <a:prstGeom prst="rect">
                      <a:avLst/>
                    </a:prstGeom>
                    <a:noFill/>
                    <a:ln>
                      <a:noFill/>
                    </a:ln>
                  </pic:spPr>
                </pic:pic>
              </a:graphicData>
            </a:graphic>
          </wp:inline>
        </w:drawing>
      </w:r>
    </w:p>
    <w:p w14:paraId="4DF31676" w14:textId="77777777" w:rsidR="00E70DB8" w:rsidRPr="00200D73" w:rsidRDefault="00E70DB8" w:rsidP="00200D73">
      <w:pPr>
        <w:shd w:val="clear" w:color="auto" w:fill="FFFFFF"/>
        <w:spacing w:line="360" w:lineRule="auto"/>
        <w:rPr>
          <w:rFonts w:ascii="Aptos" w:eastAsia="Times New Roman" w:hAnsi="Aptos" w:cs="Open Sans"/>
          <w:color w:val="666666"/>
          <w:sz w:val="22"/>
          <w:szCs w:val="22"/>
          <w:lang w:eastAsia="da-DK"/>
        </w:rPr>
      </w:pPr>
      <w:r w:rsidRPr="00200D73">
        <w:rPr>
          <w:rFonts w:ascii="Aptos" w:eastAsia="Times New Roman" w:hAnsi="Aptos" w:cs="Open Sans"/>
          <w:i/>
          <w:iCs/>
          <w:color w:val="666666"/>
          <w:sz w:val="22"/>
          <w:szCs w:val="22"/>
          <w:lang w:eastAsia="da-DK"/>
        </w:rPr>
        <w:t>”Dødskysset”. Den østtyske partichef Honecker modtager Gorbatjov ved DDR’s 40-årsjubilæum i Berlin i oktober 1989. 10 dage senere blev Honecker afsat med Gorbatjovs stiltiende accept.</w:t>
      </w:r>
    </w:p>
    <w:p w14:paraId="01B19073" w14:textId="77777777" w:rsidR="00E70DB8" w:rsidRPr="00200D73" w:rsidRDefault="00E70DB8" w:rsidP="00200D73">
      <w:pPr>
        <w:shd w:val="clear" w:color="auto" w:fill="FFFFFF"/>
        <w:spacing w:line="360" w:lineRule="auto"/>
        <w:rPr>
          <w:rFonts w:ascii="Aptos" w:eastAsia="Times New Roman" w:hAnsi="Aptos" w:cs="Open Sans"/>
          <w:color w:val="777777"/>
          <w:sz w:val="22"/>
          <w:szCs w:val="22"/>
          <w:lang w:eastAsia="da-DK"/>
        </w:rPr>
      </w:pPr>
      <w:r w:rsidRPr="00200D73">
        <w:rPr>
          <w:rFonts w:ascii="Aptos" w:eastAsia="Times New Roman" w:hAnsi="Aptos" w:cs="Open Sans"/>
          <w:color w:val="777777"/>
          <w:sz w:val="22"/>
          <w:szCs w:val="22"/>
          <w:lang w:eastAsia="da-DK"/>
        </w:rPr>
        <w:t>Polfoto</w:t>
      </w:r>
    </w:p>
    <w:p w14:paraId="13FF4E9E" w14:textId="77777777" w:rsidR="00E70DB8" w:rsidRPr="00200D73" w:rsidRDefault="00E70DB8" w:rsidP="00200D73">
      <w:pPr>
        <w:shd w:val="clear" w:color="auto" w:fill="FFFFFF"/>
        <w:spacing w:after="240" w:line="360" w:lineRule="auto"/>
        <w:rPr>
          <w:rFonts w:ascii="Aptos" w:eastAsia="Times New Roman" w:hAnsi="Aptos" w:cs="Open Sans"/>
          <w:color w:val="333333"/>
          <w:sz w:val="22"/>
          <w:szCs w:val="22"/>
          <w:lang w:eastAsia="da-DK"/>
        </w:rPr>
      </w:pPr>
      <w:r w:rsidRPr="00200D73">
        <w:rPr>
          <w:rFonts w:ascii="Aptos" w:eastAsia="Times New Roman" w:hAnsi="Aptos" w:cs="Open Sans"/>
          <w:color w:val="333333"/>
          <w:sz w:val="22"/>
          <w:szCs w:val="22"/>
          <w:lang w:eastAsia="da-DK"/>
        </w:rPr>
        <w:t>Disse begivenheder blev begyndelsen til det endelige sammenbrud af hele sovjetsystemet. Ungarn havde en tilsvarende dårlig økonomi, og accepterede i forhandlinger med Vesttyskland at åbne Ungarns grænse til Østrig til gengæld for vesttyske lån. Det medførte, at DDR-borgere i stort tal strømmede til Ungarn og krydsede grænsen til Vesttyskland, mens intellektuelle og borgerretsgrupper hjemme i DDR begyndte at demonstrere mod magtapparatet.</w:t>
      </w:r>
    </w:p>
    <w:p w14:paraId="4477B7C7" w14:textId="77777777" w:rsidR="00E70DB8" w:rsidRPr="00200D73" w:rsidRDefault="00E70DB8" w:rsidP="00200D73">
      <w:pPr>
        <w:shd w:val="clear" w:color="auto" w:fill="FFFFFF"/>
        <w:spacing w:after="240" w:line="360" w:lineRule="auto"/>
        <w:rPr>
          <w:rFonts w:ascii="Aptos" w:eastAsia="Times New Roman" w:hAnsi="Aptos" w:cs="Open Sans"/>
          <w:color w:val="333333"/>
          <w:sz w:val="22"/>
          <w:szCs w:val="22"/>
          <w:lang w:eastAsia="da-DK"/>
        </w:rPr>
      </w:pPr>
      <w:r w:rsidRPr="00200D73">
        <w:rPr>
          <w:rFonts w:ascii="Aptos" w:eastAsia="Times New Roman" w:hAnsi="Aptos" w:cs="Open Sans"/>
          <w:color w:val="333333"/>
          <w:sz w:val="22"/>
          <w:szCs w:val="22"/>
          <w:lang w:eastAsia="da-DK"/>
        </w:rPr>
        <w:t>De kommunistiske ledere overvejede at sætte politi og tropper ind mod befolkningen, men kombinationen af en hastigt stigende tilslutning til demonstrationerne og manglende opbakning til voldsanvendelse fra Sovjetunionens side forhindrede en sådan beslutning. Den 9. november 1989 åbnede det østtyske kommunistparti grænseovergangene ved Berlinmuren. Med murens fald begyndte en proces, der førte til det kommunistiske styres sammenbrud og en union mellem Øst- og Vesttyskland. Den tyske genforening var en realitet den 3. oktober 1990. Det var en proces, som de fleste bare et år tidligere ville have sagt enten var umulig eller i hvert fald ville tage en hel generation.</w:t>
      </w:r>
    </w:p>
    <w:p w14:paraId="07B451EE" w14:textId="59252AFB" w:rsidR="00894816" w:rsidRPr="0065344C" w:rsidRDefault="00E70DB8" w:rsidP="0065344C">
      <w:pPr>
        <w:shd w:val="clear" w:color="auto" w:fill="FFFFFF"/>
        <w:spacing w:after="240" w:line="360" w:lineRule="auto"/>
        <w:rPr>
          <w:rFonts w:ascii="Aptos" w:eastAsia="Times New Roman" w:hAnsi="Aptos" w:cs="Open Sans"/>
          <w:color w:val="333333"/>
          <w:sz w:val="22"/>
          <w:szCs w:val="22"/>
          <w:lang w:eastAsia="da-DK"/>
        </w:rPr>
      </w:pPr>
      <w:r w:rsidRPr="00200D73">
        <w:rPr>
          <w:rFonts w:ascii="Aptos" w:eastAsia="Times New Roman" w:hAnsi="Aptos" w:cs="Open Sans"/>
          <w:color w:val="333333"/>
          <w:sz w:val="22"/>
          <w:szCs w:val="22"/>
          <w:lang w:eastAsia="da-DK"/>
        </w:rPr>
        <w:t>Fra Østtyskland spredte demonstrationer og politiske opgør sig til Tjekkoslovakiet, og lidt senere til Bulgarien, Rumænien og Albanien. Revolutionerne og systemforandringerne i Østeuropa i perioden 1989 til 1991 var en overraskelse, og de fleste ændringer skete med beskeden anvendelse af militær magt. Der er ikke mange historiske eksempler på, at magthavere i et autoritært system giver magten fra sig og accepterer, at deres regeringssystem afvikles, uden at yde væbnet modstand. Der er flere forklaringer på, hvorfor de socialistiske systemer brød sammen, men der er enighed om, at alliancen mellem systemkritikere og store befolkningsgrupper, der var parate til at demonstrere for ændringer, blev de afgørende aktører i den indledende fase af de store omvæltninger.</w:t>
      </w:r>
    </w:p>
    <w:sectPr w:rsidR="00894816" w:rsidRPr="006534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B8"/>
    <w:rsid w:val="00200D73"/>
    <w:rsid w:val="0065344C"/>
    <w:rsid w:val="006E43A3"/>
    <w:rsid w:val="00723BA8"/>
    <w:rsid w:val="00736864"/>
    <w:rsid w:val="00894816"/>
    <w:rsid w:val="00E70D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541A73D"/>
  <w15:chartTrackingRefBased/>
  <w15:docId w15:val="{0B9A6198-2F21-A140-8F3F-BF932485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70DB8"/>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200D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70DB8"/>
    <w:pPr>
      <w:spacing w:before="100" w:beforeAutospacing="1" w:after="100" w:afterAutospacing="1"/>
    </w:pPr>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E70DB8"/>
    <w:rPr>
      <w:rFonts w:ascii="Times New Roman" w:eastAsia="Times New Roman" w:hAnsi="Times New Roman" w:cs="Times New Roman"/>
      <w:b/>
      <w:bCs/>
      <w:kern w:val="36"/>
      <w:sz w:val="48"/>
      <w:szCs w:val="48"/>
      <w:lang w:eastAsia="da-DK"/>
    </w:rPr>
  </w:style>
  <w:style w:type="character" w:styleId="Fremhv">
    <w:name w:val="Emphasis"/>
    <w:basedOn w:val="Standardskrifttypeiafsnit"/>
    <w:uiPriority w:val="20"/>
    <w:qFormat/>
    <w:rsid w:val="00E70DB8"/>
    <w:rPr>
      <w:i/>
      <w:iCs/>
    </w:rPr>
  </w:style>
  <w:style w:type="character" w:customStyle="1" w:styleId="credits">
    <w:name w:val="credits"/>
    <w:basedOn w:val="Standardskrifttypeiafsnit"/>
    <w:rsid w:val="00E70DB8"/>
  </w:style>
  <w:style w:type="character" w:customStyle="1" w:styleId="Overskrift2Tegn">
    <w:name w:val="Overskrift 2 Tegn"/>
    <w:basedOn w:val="Standardskrifttypeiafsnit"/>
    <w:link w:val="Overskrift2"/>
    <w:uiPriority w:val="9"/>
    <w:rsid w:val="00200D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70235">
      <w:bodyDiv w:val="1"/>
      <w:marLeft w:val="0"/>
      <w:marRight w:val="0"/>
      <w:marTop w:val="0"/>
      <w:marBottom w:val="0"/>
      <w:divBdr>
        <w:top w:val="none" w:sz="0" w:space="0" w:color="auto"/>
        <w:left w:val="none" w:sz="0" w:space="0" w:color="auto"/>
        <w:bottom w:val="none" w:sz="0" w:space="0" w:color="auto"/>
        <w:right w:val="none" w:sz="0" w:space="0" w:color="auto"/>
      </w:divBdr>
    </w:div>
    <w:div w:id="1625188214">
      <w:bodyDiv w:val="1"/>
      <w:marLeft w:val="0"/>
      <w:marRight w:val="0"/>
      <w:marTop w:val="0"/>
      <w:marBottom w:val="0"/>
      <w:divBdr>
        <w:top w:val="none" w:sz="0" w:space="0" w:color="auto"/>
        <w:left w:val="none" w:sz="0" w:space="0" w:color="auto"/>
        <w:bottom w:val="none" w:sz="0" w:space="0" w:color="auto"/>
        <w:right w:val="none" w:sz="0" w:space="0" w:color="auto"/>
      </w:divBdr>
      <w:divsChild>
        <w:div w:id="1877694974">
          <w:marLeft w:val="0"/>
          <w:marRight w:val="0"/>
          <w:marTop w:val="0"/>
          <w:marBottom w:val="0"/>
          <w:divBdr>
            <w:top w:val="none" w:sz="0" w:space="0" w:color="auto"/>
            <w:left w:val="none" w:sz="0" w:space="0" w:color="auto"/>
            <w:bottom w:val="none" w:sz="0" w:space="0" w:color="auto"/>
            <w:right w:val="none" w:sz="0" w:space="0" w:color="auto"/>
          </w:divBdr>
        </w:div>
        <w:div w:id="476801">
          <w:marLeft w:val="0"/>
          <w:marRight w:val="0"/>
          <w:marTop w:val="240"/>
          <w:marBottom w:val="240"/>
          <w:divBdr>
            <w:top w:val="none" w:sz="0" w:space="0" w:color="auto"/>
            <w:left w:val="none" w:sz="0" w:space="0" w:color="auto"/>
            <w:bottom w:val="none" w:sz="0" w:space="0" w:color="auto"/>
            <w:right w:val="none" w:sz="0" w:space="0" w:color="auto"/>
          </w:divBdr>
          <w:divsChild>
            <w:div w:id="1501505989">
              <w:marLeft w:val="0"/>
              <w:marRight w:val="0"/>
              <w:marTop w:val="100"/>
              <w:marBottom w:val="100"/>
              <w:divBdr>
                <w:top w:val="none" w:sz="0" w:space="0" w:color="auto"/>
                <w:left w:val="none" w:sz="0" w:space="0" w:color="auto"/>
                <w:bottom w:val="none" w:sz="0" w:space="0" w:color="auto"/>
                <w:right w:val="none" w:sz="0" w:space="0" w:color="auto"/>
              </w:divBdr>
              <w:divsChild>
                <w:div w:id="41637078">
                  <w:marLeft w:val="0"/>
                  <w:marRight w:val="0"/>
                  <w:marTop w:val="0"/>
                  <w:marBottom w:val="0"/>
                  <w:divBdr>
                    <w:top w:val="none" w:sz="0" w:space="0" w:color="auto"/>
                    <w:left w:val="none" w:sz="0" w:space="0" w:color="auto"/>
                    <w:bottom w:val="none" w:sz="0" w:space="0" w:color="auto"/>
                    <w:right w:val="none" w:sz="0" w:space="0" w:color="auto"/>
                  </w:divBdr>
                </w:div>
                <w:div w:id="224872318">
                  <w:marLeft w:val="0"/>
                  <w:marRight w:val="0"/>
                  <w:marTop w:val="96"/>
                  <w:marBottom w:val="96"/>
                  <w:divBdr>
                    <w:top w:val="none" w:sz="0" w:space="0" w:color="auto"/>
                    <w:left w:val="none" w:sz="0" w:space="0" w:color="auto"/>
                    <w:bottom w:val="none" w:sz="0" w:space="0" w:color="auto"/>
                    <w:right w:val="none" w:sz="0" w:space="0" w:color="auto"/>
                  </w:divBdr>
                  <w:divsChild>
                    <w:div w:id="12008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62292">
          <w:marLeft w:val="0"/>
          <w:marRight w:val="0"/>
          <w:marTop w:val="0"/>
          <w:marBottom w:val="0"/>
          <w:divBdr>
            <w:top w:val="none" w:sz="0" w:space="0" w:color="auto"/>
            <w:left w:val="none" w:sz="0" w:space="0" w:color="auto"/>
            <w:bottom w:val="none" w:sz="0" w:space="0" w:color="auto"/>
            <w:right w:val="none" w:sz="0" w:space="0" w:color="auto"/>
          </w:divBdr>
        </w:div>
        <w:div w:id="300886014">
          <w:marLeft w:val="0"/>
          <w:marRight w:val="0"/>
          <w:marTop w:val="0"/>
          <w:marBottom w:val="0"/>
          <w:divBdr>
            <w:top w:val="none" w:sz="0" w:space="0" w:color="auto"/>
            <w:left w:val="none" w:sz="0" w:space="0" w:color="auto"/>
            <w:bottom w:val="none" w:sz="0" w:space="0" w:color="auto"/>
            <w:right w:val="none" w:sz="0" w:space="0" w:color="auto"/>
          </w:divBdr>
          <w:divsChild>
            <w:div w:id="1772621295">
              <w:marLeft w:val="0"/>
              <w:marRight w:val="0"/>
              <w:marTop w:val="0"/>
              <w:marBottom w:val="240"/>
              <w:divBdr>
                <w:top w:val="none" w:sz="0" w:space="0" w:color="auto"/>
                <w:left w:val="none" w:sz="0" w:space="0" w:color="auto"/>
                <w:bottom w:val="none" w:sz="0" w:space="0" w:color="auto"/>
                <w:right w:val="none" w:sz="0" w:space="0" w:color="auto"/>
              </w:divBdr>
              <w:divsChild>
                <w:div w:id="97407681">
                  <w:marLeft w:val="0"/>
                  <w:marRight w:val="0"/>
                  <w:marTop w:val="0"/>
                  <w:marBottom w:val="0"/>
                  <w:divBdr>
                    <w:top w:val="none" w:sz="0" w:space="0" w:color="auto"/>
                    <w:left w:val="none" w:sz="0" w:space="0" w:color="auto"/>
                    <w:bottom w:val="none" w:sz="0" w:space="0" w:color="auto"/>
                    <w:right w:val="none" w:sz="0" w:space="0" w:color="auto"/>
                  </w:divBdr>
                  <w:divsChild>
                    <w:div w:id="1069957788">
                      <w:marLeft w:val="0"/>
                      <w:marRight w:val="0"/>
                      <w:marTop w:val="0"/>
                      <w:marBottom w:val="0"/>
                      <w:divBdr>
                        <w:top w:val="none" w:sz="0" w:space="0" w:color="auto"/>
                        <w:left w:val="none" w:sz="0" w:space="0" w:color="auto"/>
                        <w:bottom w:val="none" w:sz="0" w:space="0" w:color="auto"/>
                        <w:right w:val="none" w:sz="0" w:space="0" w:color="auto"/>
                      </w:divBdr>
                    </w:div>
                    <w:div w:id="598832840">
                      <w:marLeft w:val="0"/>
                      <w:marRight w:val="0"/>
                      <w:marTop w:val="96"/>
                      <w:marBottom w:val="96"/>
                      <w:divBdr>
                        <w:top w:val="none" w:sz="0" w:space="0" w:color="auto"/>
                        <w:left w:val="none" w:sz="0" w:space="0" w:color="auto"/>
                        <w:bottom w:val="none" w:sz="0" w:space="0" w:color="auto"/>
                        <w:right w:val="none" w:sz="0" w:space="0" w:color="auto"/>
                      </w:divBdr>
                      <w:divsChild>
                        <w:div w:id="17303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182">
      <w:bodyDiv w:val="1"/>
      <w:marLeft w:val="0"/>
      <w:marRight w:val="0"/>
      <w:marTop w:val="0"/>
      <w:marBottom w:val="0"/>
      <w:divBdr>
        <w:top w:val="none" w:sz="0" w:space="0" w:color="auto"/>
        <w:left w:val="none" w:sz="0" w:space="0" w:color="auto"/>
        <w:bottom w:val="none" w:sz="0" w:space="0" w:color="auto"/>
        <w:right w:val="none" w:sz="0" w:space="0" w:color="auto"/>
      </w:divBdr>
    </w:div>
    <w:div w:id="1786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oplysningstidtileuropaeiskintegration.ibog.gyldendal.dk/fileadmin/_processed_/a/6/csm_billede_7_5k60xkde_101331_b65742a5ff.jpg" TargetMode="External"/><Relationship Id="rId5" Type="http://schemas.openxmlformats.org/officeDocument/2006/relationships/image" Target="media/image1.jpeg"/><Relationship Id="rId4" Type="http://schemas.openxmlformats.org/officeDocument/2006/relationships/hyperlink" Target="https://fraoplysningstidtileuropaeiskintegration.ibog.gyldendal.dk/fileadmin/_processed_/3/9/csm_20050825-040814-5_9Mb_d907250825.jp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6269</Characters>
  <Application>Microsoft Office Word</Application>
  <DocSecurity>0</DocSecurity>
  <Lines>52</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dcterms:created xsi:type="dcterms:W3CDTF">2024-09-24T12:32:00Z</dcterms:created>
  <dcterms:modified xsi:type="dcterms:W3CDTF">2024-09-24T12:32:00Z</dcterms:modified>
</cp:coreProperties>
</file>