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E8C2" w14:textId="19B886C5" w:rsidR="005E489F" w:rsidRDefault="005E489F" w:rsidP="005E489F">
      <w:pPr>
        <w:pStyle w:val="Overskrift1"/>
      </w:pPr>
      <w:r>
        <w:t>Technetium</w:t>
      </w:r>
    </w:p>
    <w:p w14:paraId="50A2293A" w14:textId="635CBD59" w:rsidR="005E489F" w:rsidRPr="00A80D2F" w:rsidRDefault="005E489F" w:rsidP="005E489F">
      <w:r w:rsidRPr="00A80D2F">
        <w:rPr>
          <w:noProof/>
        </w:rPr>
        <w:drawing>
          <wp:anchor distT="0" distB="0" distL="114300" distR="114300" simplePos="0" relativeHeight="251659264" behindDoc="1" locked="0" layoutInCell="1" allowOverlap="1" wp14:anchorId="1F6C891B" wp14:editId="21D48E7A">
            <wp:simplePos x="0" y="0"/>
            <wp:positionH relativeFrom="column">
              <wp:posOffset>4509135</wp:posOffset>
            </wp:positionH>
            <wp:positionV relativeFrom="paragraph">
              <wp:posOffset>45085</wp:posOffset>
            </wp:positionV>
            <wp:extent cx="1555750" cy="1166495"/>
            <wp:effectExtent l="0" t="0" r="6350" b="0"/>
            <wp:wrapTight wrapText="bothSides">
              <wp:wrapPolygon edited="0">
                <wp:start x="0" y="0"/>
                <wp:lineTo x="0" y="21165"/>
                <wp:lineTo x="21424" y="21165"/>
                <wp:lineTo x="21424" y="0"/>
                <wp:lineTo x="0" y="0"/>
              </wp:wrapPolygon>
            </wp:wrapTight>
            <wp:docPr id="1" name="Billede 1" descr="http://upload.wikimedia.org/wikipedia/commons/7/77/Tc99minjek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7/Tc99minjek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D2F">
        <w:t xml:space="preserve">Technetium-99m (Tc-99m) er et meget anvendt radioaktivt sporingsstof, der kan bruges til at lave billeder af organer som f.eks. hjerne, lunger og nyrer, men også blodet og knoglerne samt kræftsvulster kan undersøges. </w:t>
      </w:r>
    </w:p>
    <w:p w14:paraId="78146C3C" w14:textId="55CC66B0" w:rsidR="005E489F" w:rsidRPr="00A80D2F" w:rsidRDefault="005E489F" w:rsidP="005E489F">
      <w:r w:rsidRPr="00A80D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A49A" wp14:editId="00399053">
                <wp:simplePos x="0" y="0"/>
                <wp:positionH relativeFrom="column">
                  <wp:posOffset>4556760</wp:posOffset>
                </wp:positionH>
                <wp:positionV relativeFrom="paragraph">
                  <wp:posOffset>511175</wp:posOffset>
                </wp:positionV>
                <wp:extent cx="1457325" cy="552450"/>
                <wp:effectExtent l="0" t="0" r="9525" b="0"/>
                <wp:wrapTight wrapText="bothSides">
                  <wp:wrapPolygon edited="0">
                    <wp:start x="0" y="0"/>
                    <wp:lineTo x="0" y="20855"/>
                    <wp:lineTo x="21459" y="20855"/>
                    <wp:lineTo x="21459" y="0"/>
                    <wp:lineTo x="0" y="0"/>
                  </wp:wrapPolygon>
                </wp:wrapTight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B7B78" w14:textId="77777777" w:rsidR="005E489F" w:rsidRPr="005E489F" w:rsidRDefault="005E489F" w:rsidP="005E4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E489F">
                              <w:rPr>
                                <w:sz w:val="16"/>
                                <w:szCs w:val="16"/>
                              </w:rPr>
                              <w:t>Injektion af det radioaktive sporingsstof Technetium-99m i blodbanen.</w:t>
                            </w:r>
                          </w:p>
                          <w:p w14:paraId="4B7CA40D" w14:textId="77777777" w:rsidR="005E489F" w:rsidRPr="00F10217" w:rsidRDefault="005E489F" w:rsidP="005E489F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A49A" id="_x0000_t202" coordsize="21600,21600" o:spt="202" path="m,l,21600r21600,l21600,xe">
                <v:stroke joinstyle="miter"/>
                <v:path gradientshapeok="t" o:connecttype="rect"/>
              </v:shapetype>
              <v:shape id="Tekstboks 19" o:spid="_x0000_s1026" type="#_x0000_t202" style="position:absolute;margin-left:358.8pt;margin-top:40.25pt;width:114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" stroked="f">
                <v:textbox inset="0,0,0,0">
                  <w:txbxContent>
                    <w:p w14:paraId="78BB7B78" w14:textId="77777777" w:rsidR="005E489F" w:rsidRPr="005E489F" w:rsidRDefault="005E489F" w:rsidP="005E489F">
                      <w:pPr>
                        <w:rPr>
                          <w:sz w:val="16"/>
                          <w:szCs w:val="16"/>
                        </w:rPr>
                      </w:pPr>
                      <w:r w:rsidRPr="005E489F">
                        <w:rPr>
                          <w:sz w:val="16"/>
                          <w:szCs w:val="16"/>
                        </w:rPr>
                        <w:t>Injektion af det radioaktive sporingsstof Technetium-99m i blodbanen.</w:t>
                      </w:r>
                    </w:p>
                    <w:p w14:paraId="4B7CA40D" w14:textId="77777777" w:rsidR="005E489F" w:rsidRPr="00F10217" w:rsidRDefault="005E489F" w:rsidP="005E489F">
                      <w:pPr>
                        <w:pStyle w:val="Billedtekst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80D2F">
        <w:t>I modsætning til traditionelle metoder som ultralydsscanninger og røntgenbilleder, der primært viser størrelse og form af organet der undersøges, har man med radioaktive sporingsstoffer mulighed for at se om organet fungerer.</w:t>
      </w:r>
    </w:p>
    <w:p w14:paraId="0060C803" w14:textId="13312FB7" w:rsidR="006D7349" w:rsidRDefault="005E489F" w:rsidP="005E489F">
      <w:r w:rsidRPr="00A80D2F">
        <w:t>Fordelen er</w:t>
      </w:r>
      <w:r>
        <w:t xml:space="preserve"> blandt andet,</w:t>
      </w:r>
      <w:r w:rsidRPr="00A80D2F">
        <w:t xml:space="preserve"> at halveringstiden</w:t>
      </w:r>
      <w:r w:rsidR="00BA4DEE" w:rsidRPr="00BA4DEE">
        <w:t xml:space="preserve"> </w:t>
      </w:r>
      <w:r w:rsidR="00BA4DEE">
        <w:t>gammahenfaldet af Tc-99m</w:t>
      </w:r>
      <w:r w:rsidRPr="00A80D2F">
        <w:t xml:space="preserve"> på 6,0</w:t>
      </w:r>
      <w:r w:rsidR="00E5102D">
        <w:t>2</w:t>
      </w:r>
      <w:r w:rsidRPr="00A80D2F">
        <w:t xml:space="preserve"> timer er relativt kort, hvorfor strålingsbelastningen af patienten er begrænset</w:t>
      </w:r>
      <w:r w:rsidR="00E5102D">
        <w:t>, når der udføres billeddannende undersøgelser</w:t>
      </w:r>
      <w:r w:rsidRPr="00A80D2F">
        <w:t xml:space="preserve">. Stoffet kan indgå i en lang række forskellige kemiske forbindelser, hvorved det kan anvendes til mange forskellige undersøgelser. </w:t>
      </w:r>
    </w:p>
    <w:p w14:paraId="428935A7" w14:textId="19C5DA89" w:rsidR="005E489F" w:rsidRPr="006D7349" w:rsidRDefault="005E489F" w:rsidP="005E489F">
      <w:r w:rsidRPr="00A80D2F">
        <w:t xml:space="preserve">Da halveringstiden er så kort, må stoffet produceres på hospitalet. Det sker i en technetium-generator, der består af en ionbyttersøjle, hvor den radioaktive isotop Mo-99 sidder bundet. </w:t>
      </w:r>
      <w:r w:rsidR="006D7349">
        <w:br/>
      </w:r>
      <w:r w:rsidRPr="00A80D2F">
        <w:t>Mo-99 henfalder til Tc-99</w:t>
      </w:r>
      <w:r w:rsidR="00E5102D">
        <w:t>m</w:t>
      </w:r>
      <w:r w:rsidRPr="00A80D2F">
        <w:t xml:space="preserve"> med en halveringstid på 65,9 timer</w:t>
      </w:r>
      <w:r w:rsidR="00E5102D">
        <w:rPr>
          <w:sz w:val="24"/>
          <w:szCs w:val="24"/>
        </w:rPr>
        <w:t xml:space="preserve"> i 87,7% af henfaldende.</w:t>
      </w:r>
    </w:p>
    <w:p w14:paraId="4BD091CD" w14:textId="77777777" w:rsidR="00E5102D" w:rsidRDefault="005E489F" w:rsidP="005E489F">
      <w:r w:rsidRPr="00A80D2F">
        <w:t xml:space="preserve">Mo-99 fremstilles </w:t>
      </w:r>
      <w:r w:rsidR="00E5102D">
        <w:t xml:space="preserve">i en kernereaktor </w:t>
      </w:r>
      <w:r w:rsidRPr="00A80D2F">
        <w:t>i Holland</w:t>
      </w:r>
      <w:r w:rsidR="00E5102D">
        <w:t xml:space="preserve"> og transporteres herefter til Viborg</w:t>
      </w:r>
      <w:r w:rsidRPr="00A80D2F">
        <w:t>.</w:t>
      </w:r>
    </w:p>
    <w:p w14:paraId="55279BBB" w14:textId="6D5B3AC1" w:rsidR="005E489F" w:rsidRDefault="00E5102D" w:rsidP="005E489F">
      <w:r>
        <w:rPr>
          <w:noProof/>
        </w:rPr>
        <w:drawing>
          <wp:anchor distT="0" distB="0" distL="114300" distR="114300" simplePos="0" relativeHeight="251662336" behindDoc="0" locked="0" layoutInCell="1" allowOverlap="1" wp14:anchorId="5F863925" wp14:editId="5FE9ED28">
            <wp:simplePos x="0" y="0"/>
            <wp:positionH relativeFrom="margin">
              <wp:align>left</wp:align>
            </wp:positionH>
            <wp:positionV relativeFrom="paragraph">
              <wp:posOffset>183018</wp:posOffset>
            </wp:positionV>
            <wp:extent cx="2409245" cy="1844805"/>
            <wp:effectExtent l="0" t="0" r="0" b="3175"/>
            <wp:wrapSquare wrapText="bothSides"/>
            <wp:docPr id="1266294150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94150" name="Billede 12662941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45" cy="18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9F">
        <w:t>Nedenfor kan du se et overblik over de henfald, der sker.</w:t>
      </w:r>
    </w:p>
    <w:p w14:paraId="5C4476F4" w14:textId="77777777" w:rsidR="00E5102D" w:rsidRDefault="00E5102D" w:rsidP="005E489F">
      <w:pPr>
        <w:pStyle w:val="Overskrift2"/>
      </w:pPr>
    </w:p>
    <w:p w14:paraId="59A1BD5D" w14:textId="77777777" w:rsidR="00E5102D" w:rsidRDefault="00E5102D" w:rsidP="005E489F">
      <w:pPr>
        <w:pStyle w:val="Overskrift2"/>
      </w:pPr>
    </w:p>
    <w:p w14:paraId="386A5F3D" w14:textId="77777777" w:rsidR="00E5102D" w:rsidRDefault="00E5102D" w:rsidP="005E489F">
      <w:pPr>
        <w:pStyle w:val="Overskrift2"/>
      </w:pPr>
    </w:p>
    <w:p w14:paraId="696B99EC" w14:textId="77777777" w:rsidR="00E5102D" w:rsidRDefault="00E5102D" w:rsidP="005E489F">
      <w:pPr>
        <w:pStyle w:val="Overskrift2"/>
      </w:pPr>
    </w:p>
    <w:p w14:paraId="022C7EF7" w14:textId="77777777" w:rsidR="00E5102D" w:rsidRDefault="00E5102D" w:rsidP="005E489F">
      <w:pPr>
        <w:pStyle w:val="Overskrift2"/>
      </w:pPr>
    </w:p>
    <w:p w14:paraId="4875FC33" w14:textId="248CB909" w:rsidR="005E489F" w:rsidRDefault="005E489F" w:rsidP="005E489F">
      <w:pPr>
        <w:pStyle w:val="Overskrift2"/>
      </w:pPr>
      <w:r>
        <w:t>Opgaver</w:t>
      </w:r>
    </w:p>
    <w:p w14:paraId="6B8E2D7F" w14:textId="23E4209E" w:rsidR="005E489F" w:rsidRDefault="005E489F" w:rsidP="005E489F">
      <w:pPr>
        <w:pStyle w:val="Listeafsnit"/>
        <w:numPr>
          <w:ilvl w:val="0"/>
          <w:numId w:val="1"/>
        </w:numPr>
      </w:pPr>
      <w:r>
        <w:t>Opskriv henfaldsskemaet fra Mo-99 til Tc-99</w:t>
      </w:r>
      <w:r w:rsidR="00E5102D" w:rsidRPr="00222DBE">
        <w:rPr>
          <w:vertAlign w:val="superscript"/>
        </w:rPr>
        <w:t>m</w:t>
      </w:r>
      <w:r>
        <w:t xml:space="preserve"> og henfaldsskemaet fra Tc-99</w:t>
      </w:r>
      <w:r>
        <w:rPr>
          <w:vertAlign w:val="superscript"/>
        </w:rPr>
        <w:t>m</w:t>
      </w:r>
      <w:r>
        <w:t xml:space="preserve"> til Tc-99.</w:t>
      </w:r>
    </w:p>
    <w:p w14:paraId="487455CD" w14:textId="76B320B3" w:rsidR="005E489F" w:rsidRDefault="005E489F" w:rsidP="005E489F">
      <w:pPr>
        <w:pStyle w:val="Listeafsnit"/>
        <w:numPr>
          <w:ilvl w:val="0"/>
          <w:numId w:val="1"/>
        </w:numPr>
      </w:pPr>
      <w:r>
        <w:t>Hvis en patient indsprøjtes med Tc-99</w:t>
      </w:r>
      <w:r>
        <w:rPr>
          <w:vertAlign w:val="superscript"/>
        </w:rPr>
        <w:t>m</w:t>
      </w:r>
      <w:r>
        <w:t xml:space="preserve"> klokken 8:30 om morgenen, hvor stor en andel af Tc-99</w:t>
      </w:r>
      <w:r>
        <w:rPr>
          <w:vertAlign w:val="superscript"/>
        </w:rPr>
        <w:t>m</w:t>
      </w:r>
      <w:r>
        <w:t xml:space="preserve"> -kernerne er der tilbage i patienten ved aftensmaden klokken 18:30</w:t>
      </w:r>
      <w:r w:rsidR="00E5102D">
        <w:t>, idet det antages at kernerne ikke udskilles, hvorfor kun radioaktivt henfald skal betragtes</w:t>
      </w:r>
      <w:r>
        <w:t xml:space="preserve">. </w:t>
      </w:r>
    </w:p>
    <w:p w14:paraId="320C6C45" w14:textId="77777777" w:rsidR="005E489F" w:rsidRDefault="005E489F" w:rsidP="005E489F">
      <w:pPr>
        <w:ind w:left="360"/>
      </w:pPr>
      <w:r>
        <w:t>De henfaldne Tc-99</w:t>
      </w:r>
      <w:r w:rsidRPr="00CF3AC9">
        <w:rPr>
          <w:vertAlign w:val="superscript"/>
        </w:rPr>
        <w:t>m</w:t>
      </w:r>
      <w:r>
        <w:t>-kerner bliver til Tc-99 i grundtilstanden. Tc-99 henfalder i kroppen ved et betaminus-henfald, men bliver også skilt ud gennem kroppens naturlige udskilningsmekanismer.</w:t>
      </w:r>
    </w:p>
    <w:p w14:paraId="21A261E5" w14:textId="4278B641" w:rsidR="005E489F" w:rsidRDefault="005E489F" w:rsidP="005E489F">
      <w:pPr>
        <w:pStyle w:val="Listeafsnit"/>
        <w:numPr>
          <w:ilvl w:val="0"/>
          <w:numId w:val="1"/>
        </w:numPr>
      </w:pPr>
      <w:r>
        <w:t xml:space="preserve">Beregn, hvor stor en andel af Tc-99-kerner, der henfalder i løbet </w:t>
      </w:r>
      <w:r w:rsidR="00222DBE">
        <w:t xml:space="preserve">af </w:t>
      </w:r>
      <w:r>
        <w:t>30år.</w:t>
      </w:r>
    </w:p>
    <w:p w14:paraId="6D9244F6" w14:textId="0650448A" w:rsidR="005E489F" w:rsidRDefault="005E489F" w:rsidP="005E489F">
      <w:pPr>
        <w:pStyle w:val="Listeafsnit"/>
        <w:numPr>
          <w:ilvl w:val="0"/>
          <w:numId w:val="1"/>
        </w:numPr>
      </w:pPr>
      <w:r>
        <w:t>Hvorfor er det ikke et problem for patienten</w:t>
      </w:r>
      <w:r w:rsidR="00E5102D">
        <w:t xml:space="preserve"> strålingsmæssigt</w:t>
      </w:r>
      <w:r>
        <w:t>?</w:t>
      </w:r>
    </w:p>
    <w:p w14:paraId="6033F8B3" w14:textId="6848C204" w:rsidR="00E5102D" w:rsidRDefault="00E5102D" w:rsidP="005E489F">
      <w:pPr>
        <w:pStyle w:val="Listeafsnit"/>
        <w:numPr>
          <w:ilvl w:val="0"/>
          <w:numId w:val="1"/>
        </w:numPr>
      </w:pPr>
      <w:r>
        <w:t>Hvad har størst betydning den biologiske udskillelse eller den fysiske halveringstid?</w:t>
      </w:r>
    </w:p>
    <w:p w14:paraId="22120A04" w14:textId="77777777" w:rsidR="005E489F" w:rsidRDefault="005E489F"/>
    <w:sectPr w:rsidR="005E48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023D8"/>
    <w:multiLevelType w:val="hybridMultilevel"/>
    <w:tmpl w:val="09C8988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1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9F"/>
    <w:rsid w:val="00222DBE"/>
    <w:rsid w:val="0041778A"/>
    <w:rsid w:val="005E489F"/>
    <w:rsid w:val="00643182"/>
    <w:rsid w:val="006D7349"/>
    <w:rsid w:val="009679C4"/>
    <w:rsid w:val="00A6273F"/>
    <w:rsid w:val="00AE514E"/>
    <w:rsid w:val="00BA4DEE"/>
    <w:rsid w:val="00CD1DDC"/>
    <w:rsid w:val="00E5102D"/>
    <w:rsid w:val="00E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799"/>
  <w15:chartTrackingRefBased/>
  <w15:docId w15:val="{F11F0FFB-DC2E-4AE2-A752-BA3E9AC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9F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E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E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E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E48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E48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E48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E48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E48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E4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E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E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E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E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E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E48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E48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E48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E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E48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E489F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unhideWhenUsed/>
    <w:qFormat/>
    <w:rsid w:val="005E489F"/>
    <w:pPr>
      <w:spacing w:after="200"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15" ma:contentTypeDescription="Opret et nyt dokument." ma:contentTypeScope="" ma:versionID="31b0b73f1109f27c92ba04a08d622d39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5e5fd83bbaaf68f7fa777905b5ef2a7f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2493c7-fd26-4a5f-a296-d6c4b5fd2b44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81AB63A1-8E5A-49F9-86BB-B7CE52556739}"/>
</file>

<file path=customXml/itemProps2.xml><?xml version="1.0" encoding="utf-8"?>
<ds:datastoreItem xmlns:ds="http://schemas.openxmlformats.org/officeDocument/2006/customXml" ds:itemID="{8095AE29-474D-4988-B752-81B8EC81C34A}"/>
</file>

<file path=customXml/itemProps3.xml><?xml version="1.0" encoding="utf-8"?>
<ds:datastoreItem xmlns:ds="http://schemas.openxmlformats.org/officeDocument/2006/customXml" ds:itemID="{E7086FD9-8708-495E-AA64-53CB03477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Zelinda Arnborg Videsen</cp:lastModifiedBy>
  <cp:revision>3</cp:revision>
  <dcterms:created xsi:type="dcterms:W3CDTF">2024-12-03T09:21:00Z</dcterms:created>
  <dcterms:modified xsi:type="dcterms:W3CDTF">2024-12-10T08:56:00Z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