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9D" w:rsidRDefault="003E459D">
      <w:r>
        <w:fldChar w:fldCharType="begin"/>
      </w:r>
      <w:r>
        <w:instrText xml:space="preserve"> HYPERLINK "</w:instrText>
      </w:r>
      <w:r w:rsidRPr="00236CB7">
        <w:instrText>http://www.sowieso.de/portal/lexikon/stasi</w:instrText>
      </w:r>
      <w:r>
        <w:instrText xml:space="preserve">" </w:instrText>
      </w:r>
      <w:r>
        <w:fldChar w:fldCharType="separate"/>
      </w:r>
      <w:r w:rsidRPr="00D917D0">
        <w:rPr>
          <w:rStyle w:val="Hyperlink"/>
        </w:rPr>
        <w:t>http://www.sowieso.de/portal/lexikon/stasi</w:t>
      </w:r>
      <w:r>
        <w:fldChar w:fldCharType="end"/>
      </w:r>
    </w:p>
    <w:p w:rsidR="003E459D" w:rsidRPr="003E459D" w:rsidRDefault="003E459D" w:rsidP="003E459D">
      <w:pPr>
        <w:shd w:val="clear" w:color="auto" w:fill="FFFFFF"/>
        <w:spacing w:after="0" w:line="264" w:lineRule="atLeast"/>
        <w:outlineLvl w:val="0"/>
        <w:rPr>
          <w:rFonts w:ascii="Lucida Sans Unicode" w:eastAsia="Times New Roman" w:hAnsi="Lucida Sans Unicode" w:cs="Lucida Sans Unicode"/>
          <w:b/>
          <w:bCs/>
          <w:color w:val="844DBE"/>
          <w:kern w:val="36"/>
          <w:sz w:val="27"/>
          <w:szCs w:val="27"/>
          <w:lang w:eastAsia="da-DK"/>
        </w:rPr>
      </w:pPr>
      <w:r w:rsidRPr="003E459D">
        <w:rPr>
          <w:rFonts w:ascii="Lucida Sans Unicode" w:eastAsia="Times New Roman" w:hAnsi="Lucida Sans Unicode" w:cs="Lucida Sans Unicode"/>
          <w:b/>
          <w:bCs/>
          <w:color w:val="844DBE"/>
          <w:kern w:val="36"/>
          <w:sz w:val="27"/>
          <w:szCs w:val="27"/>
          <w:lang w:eastAsia="da-DK"/>
        </w:rPr>
        <w:t>Stasi</w:t>
      </w:r>
    </w:p>
    <w:p w:rsidR="003E459D" w:rsidRPr="003E459D" w:rsidRDefault="003E459D" w:rsidP="003E459D">
      <w:pPr>
        <w:shd w:val="clear" w:color="auto" w:fill="FFFFFF"/>
        <w:spacing w:after="75" w:line="240" w:lineRule="auto"/>
        <w:textAlignment w:val="center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da-DK"/>
        </w:rPr>
      </w:pPr>
      <w:r w:rsidRPr="003E459D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da-DK"/>
        </w:rPr>
        <w:t xml:space="preserve">15. </w:t>
      </w:r>
      <w:proofErr w:type="gramStart"/>
      <w:r w:rsidRPr="003E459D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da-DK"/>
        </w:rPr>
        <w:t>Januar</w:t>
      </w:r>
      <w:proofErr w:type="gramEnd"/>
      <w:r w:rsidRPr="003E459D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da-DK"/>
        </w:rPr>
        <w:t xml:space="preserve"> 2013</w:t>
      </w:r>
    </w:p>
    <w:p w:rsidR="003E459D" w:rsidRPr="003E459D" w:rsidRDefault="003E459D" w:rsidP="003E459D">
      <w:pPr>
        <w:spacing w:before="240" w:after="24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</w:pPr>
      <w:hyperlink r:id="rId7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Abkürzung</w:t>
      </w:r>
      <w:proofErr w:type="spellEnd"/>
      <w:r w:rsidR="00717687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1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für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da-DK"/>
        </w:rPr>
        <w:t>Sta</w: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ats</w:t>
      </w:r>
      <w:r w:rsidRPr="003E459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da-DK"/>
        </w:rPr>
        <w:t>si</w: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cherheit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Damit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das Ministerium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für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Staatssicherheit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gemeint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das es in 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Deutschen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Demokratischen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Republik (</w:t>
      </w:r>
      <w:hyperlink r:id="rId8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DDR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) gab. Es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wurde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1950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eingerichtet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und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beendete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seine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Tätigkeit</w:t>
      </w:r>
      <w:proofErr w:type="spellEnd"/>
      <w:r w:rsidR="00717687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2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1989 mit dem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Zusammenbruch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 </w:t>
      </w:r>
      <w:hyperlink r:id="rId9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DDR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.</w:t>
      </w:r>
    </w:p>
    <w:p w:rsidR="003E459D" w:rsidRPr="003E459D" w:rsidRDefault="003E459D" w:rsidP="003E459D">
      <w:pPr>
        <w:spacing w:before="240" w:after="24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</w:pP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Das Ministerium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für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Staatssicherheit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Geheimdienst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 </w:t>
      </w:r>
      <w:hyperlink r:id="rId10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DDR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Wie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jeder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andere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Geheimdienst</w:t>
      </w:r>
      <w:proofErr w:type="spellEnd"/>
      <w:r w:rsidR="00717687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3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hatte die </w:t>
      </w:r>
      <w:hyperlink r:id="rId11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 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Aufgabe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möglichst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viele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Informationen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über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Feinde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des Landes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sammeln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Das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einen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Feinde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außerhalb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also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andere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Staaten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andere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Vorstellungen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von Politik und von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Freiheit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hatten,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allen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voran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andere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deutsche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begin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instrText xml:space="preserve"> HYPERLINK "http://www.sowieso.de/portal/lexikon/982" </w:instrTex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separate"/>
      </w:r>
      <w:r w:rsidRPr="003E459D">
        <w:rPr>
          <w:rFonts w:ascii="Lucida Sans Unicode" w:eastAsia="Times New Roman" w:hAnsi="Lucida Sans Unicode" w:cs="Lucida Sans Unicode"/>
          <w:color w:val="C70015"/>
          <w:sz w:val="20"/>
          <w:szCs w:val="20"/>
          <w:u w:val="single"/>
          <w:lang w:eastAsia="da-DK"/>
        </w:rPr>
        <w:t>Staat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end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Bundesrepublik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Deutschland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Aber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Inneren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witterte</w:t>
      </w:r>
      <w:proofErr w:type="spellEnd"/>
      <w:r w:rsidR="00717687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4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Geheimdienst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Feinde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.</w:t>
      </w:r>
    </w:p>
    <w:p w:rsidR="003E459D" w:rsidRPr="003E459D" w:rsidRDefault="003E459D" w:rsidP="003E459D">
      <w:pPr>
        <w:spacing w:before="240" w:after="24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</w:pP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Alle, die in </w:t>
      </w:r>
      <w:hyperlink r:id="rId12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Opposition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regierenden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Politikern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und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ihrer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begin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instrText xml:space="preserve"> HYPERLINK "http://www.sowieso.de/portal/lexikon/959" </w:instrTex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separate"/>
      </w:r>
      <w:r w:rsidRPr="003E459D">
        <w:rPr>
          <w:rFonts w:ascii="Lucida Sans Unicode" w:eastAsia="Times New Roman" w:hAnsi="Lucida Sans Unicode" w:cs="Lucida Sans Unicode"/>
          <w:color w:val="C70015"/>
          <w:sz w:val="20"/>
          <w:szCs w:val="20"/>
          <w:u w:val="single"/>
          <w:lang w:eastAsia="da-DK"/>
        </w:rPr>
        <w:t>Partei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end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 standen,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verdächtig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Sie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wurden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überwacht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eigenen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Soldaten, die an den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Grenzen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arbeiteten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traute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 </w:t>
      </w:r>
      <w:hyperlink r:id="rId13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nicht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In den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Betrieben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und in den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Schulen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wurden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Menschen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ebenfalls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bespitzelt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Kontakte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seiner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Familie in 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Bundesrepublik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hatte,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von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vorneherein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verdächtig</w:t>
      </w:r>
      <w:proofErr w:type="spellEnd"/>
      <w:r w:rsidR="00717687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5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.</w:t>
      </w:r>
    </w:p>
    <w:p w:rsidR="003E459D" w:rsidRPr="003E459D" w:rsidRDefault="003E459D" w:rsidP="003E459D">
      <w:pPr>
        <w:spacing w:before="240" w:after="24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</w:pP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Selbst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ganz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normale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Leute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wurden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bespitzelt</w:t>
      </w:r>
      <w:proofErr w:type="spellEnd"/>
      <w:r w:rsidR="00717687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6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: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Ihre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Briefe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wurden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geöffnet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und die </w:t>
      </w:r>
      <w:hyperlink r:id="rId14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="007176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erfuhr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was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Menschen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dachten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Funktionieren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konnte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das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nur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weil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sehr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viele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Menschen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dabei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mitmachten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Neben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Angestellten</w:t>
      </w:r>
      <w:proofErr w:type="spellEnd"/>
      <w:r w:rsidR="009D4F11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7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des Ministeriums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für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Staatssicherheit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gab es so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genannte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da-DK"/>
        </w:rPr>
        <w:t>I</w: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nformelle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da-DK"/>
        </w:rPr>
        <w:t>M</w: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itarbeiter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(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IMs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). Das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normale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Leute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regelmäßig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 </w:t>
      </w:r>
      <w:hyperlink r:id="rId15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über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Nachbarn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oder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Arbeitskollegen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informierten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Rein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rechnerisch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soll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jeder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50.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Bewohner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 </w:t>
      </w:r>
      <w:hyperlink r:id="rId16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DDR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offiziell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oder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inoffiziell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bei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der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begin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instrText xml:space="preserve"> HYPERLINK "http://www.sowieso.de/portal/lexikon/984" </w:instrTex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separate"/>
      </w:r>
      <w:r w:rsidRPr="003E459D">
        <w:rPr>
          <w:rFonts w:ascii="Lucida Sans Unicode" w:eastAsia="Times New Roman" w:hAnsi="Lucida Sans Unicode" w:cs="Lucida Sans Unicode"/>
          <w:color w:val="C70015"/>
          <w:sz w:val="20"/>
          <w:szCs w:val="20"/>
          <w:u w:val="single"/>
          <w:lang w:eastAsia="da-DK"/>
        </w:rPr>
        <w:t>Stasi</w: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end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gearbeitet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haben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.</w:t>
      </w:r>
    </w:p>
    <w:p w:rsidR="003E459D" w:rsidRPr="003E459D" w:rsidRDefault="003E459D" w:rsidP="003E459D">
      <w:pPr>
        <w:spacing w:before="240" w:after="24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</w:pP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Warum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Menschen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für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 </w:t>
      </w:r>
      <w:hyperlink r:id="rId17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arbeiteten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hatte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unterschiedliche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Gründe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Viele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überzeugt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davon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dass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ihre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Arbeit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wichtig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um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die </w:t>
      </w:r>
      <w:hyperlink r:id="rId18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DDR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 und die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diesem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begin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instrText xml:space="preserve"> HYPERLINK "http://www.sowieso.de/portal/lexikon/982" </w:instrTex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separate"/>
      </w:r>
      <w:r w:rsidRPr="003E459D">
        <w:rPr>
          <w:rFonts w:ascii="Lucida Sans Unicode" w:eastAsia="Times New Roman" w:hAnsi="Lucida Sans Unicode" w:cs="Lucida Sans Unicode"/>
          <w:color w:val="C70015"/>
          <w:sz w:val="20"/>
          <w:szCs w:val="20"/>
          <w:u w:val="single"/>
          <w:lang w:eastAsia="da-DK"/>
        </w:rPr>
        <w:t>Staat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end"/>
      </w:r>
      <w:r w:rsidR="009D4F1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zugrunde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liegende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Idee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am Leben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halten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Andere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versprachen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sich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Vorteile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davon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: Sie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konnten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zum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Beispiel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reisen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wenn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sie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dafür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über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ihre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Erlebnisse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berichteten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Wieder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andere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wurden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unter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Druck</w:t>
      </w:r>
      <w:proofErr w:type="spellEnd"/>
      <w:r w:rsidR="009D4F11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8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gesetzt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oder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fühlten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sich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unter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Druck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gesetzt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.</w:t>
      </w:r>
    </w:p>
    <w:p w:rsidR="003E459D" w:rsidRPr="003E459D" w:rsidRDefault="003E459D" w:rsidP="003E459D">
      <w:pPr>
        <w:spacing w:before="240" w:after="24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</w:pP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Mit dem Ende der </w:t>
      </w:r>
      <w:hyperlink r:id="rId19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DDR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 kam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das Ende der </w:t>
      </w:r>
      <w:hyperlink r:id="rId20" w:history="1">
        <w:r w:rsidRPr="003E459D">
          <w:rPr>
            <w:rFonts w:ascii="Lucida Sans Unicode" w:eastAsia="Times New Roman" w:hAnsi="Lucida Sans Unicode" w:cs="Lucida Sans Unicode"/>
            <w:color w:val="C70015"/>
            <w:sz w:val="20"/>
            <w:szCs w:val="20"/>
            <w:u w:val="single"/>
            <w:lang w:eastAsia="da-DK"/>
          </w:rPr>
          <w:t>Stasi</w:t>
        </w:r>
      </w:hyperlink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.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Noch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heute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gibt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es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riesige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Archive mit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Unterlagen</w:t>
      </w:r>
      <w:proofErr w:type="spellEnd"/>
      <w:r w:rsidR="009D4F11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val="en-US" w:eastAsia="da-DK"/>
        </w:rPr>
        <w:footnoteReference w:id="9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in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denen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aufgeschrieben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wer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wann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ausspioniert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hat. In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einem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begin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instrText xml:space="preserve"> HYPERLINK "http://www.sowieso.de/portal/lexikon/881" </w:instrText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separate"/>
      </w:r>
      <w:r w:rsidRPr="003E459D">
        <w:rPr>
          <w:rFonts w:ascii="Lucida Sans Unicode" w:eastAsia="Times New Roman" w:hAnsi="Lucida Sans Unicode" w:cs="Lucida Sans Unicode"/>
          <w:color w:val="C70015"/>
          <w:sz w:val="20"/>
          <w:szCs w:val="20"/>
          <w:u w:val="single"/>
          <w:lang w:eastAsia="da-DK"/>
        </w:rPr>
        <w:t>Gesetz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ldChar w:fldCharType="end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 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ist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geregelt</w:t>
      </w:r>
      <w:proofErr w:type="spellEnd"/>
      <w:r w:rsidR="009D4F11">
        <w:rPr>
          <w:rStyle w:val="Fodnotehenvisning"/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footnoteReference w:id="10"/>
      </w:r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,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dass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diese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Unterlagen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weiterhin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aufbeahrt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und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eingesehen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werden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 xml:space="preserve"> </w:t>
      </w:r>
      <w:proofErr w:type="spellStart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können</w:t>
      </w:r>
      <w:proofErr w:type="spellEnd"/>
      <w:r w:rsidRPr="003E459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da-DK"/>
        </w:rPr>
        <w:t>.</w:t>
      </w:r>
    </w:p>
    <w:p w:rsidR="003E459D" w:rsidRDefault="003E459D"/>
    <w:sectPr w:rsidR="003E459D" w:rsidSect="00717687">
      <w:pgSz w:w="11906" w:h="16838"/>
      <w:pgMar w:top="1134" w:right="1134" w:bottom="1134" w:left="1134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D5" w:rsidRDefault="003108D5" w:rsidP="00717687">
      <w:pPr>
        <w:spacing w:after="0" w:line="240" w:lineRule="auto"/>
      </w:pPr>
      <w:r>
        <w:separator/>
      </w:r>
    </w:p>
  </w:endnote>
  <w:endnote w:type="continuationSeparator" w:id="0">
    <w:p w:rsidR="003108D5" w:rsidRDefault="003108D5" w:rsidP="0071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D5" w:rsidRDefault="003108D5" w:rsidP="00717687">
      <w:pPr>
        <w:spacing w:after="0" w:line="240" w:lineRule="auto"/>
      </w:pPr>
      <w:r>
        <w:separator/>
      </w:r>
    </w:p>
  </w:footnote>
  <w:footnote w:type="continuationSeparator" w:id="0">
    <w:p w:rsidR="003108D5" w:rsidRDefault="003108D5" w:rsidP="00717687">
      <w:pPr>
        <w:spacing w:after="0" w:line="240" w:lineRule="auto"/>
      </w:pPr>
      <w:r>
        <w:continuationSeparator/>
      </w:r>
    </w:p>
  </w:footnote>
  <w:footnote w:id="1">
    <w:p w:rsidR="00717687" w:rsidRDefault="0071768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Abkürzung</w:t>
      </w:r>
      <w:proofErr w:type="spellEnd"/>
      <w:r>
        <w:t xml:space="preserve"> (f): forkortelse</w:t>
      </w:r>
    </w:p>
  </w:footnote>
  <w:footnote w:id="2">
    <w:p w:rsidR="00717687" w:rsidRDefault="0071768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Tätigkeit</w:t>
      </w:r>
      <w:proofErr w:type="spellEnd"/>
      <w:r>
        <w:t xml:space="preserve"> (f): virke</w:t>
      </w:r>
    </w:p>
  </w:footnote>
  <w:footnote w:id="3">
    <w:p w:rsidR="00717687" w:rsidRDefault="0071768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Geheimdienst</w:t>
      </w:r>
      <w:proofErr w:type="spellEnd"/>
      <w:r>
        <w:t xml:space="preserve"> (m): efterretningstjeneste, hemmeligt politi</w:t>
      </w:r>
    </w:p>
  </w:footnote>
  <w:footnote w:id="4">
    <w:p w:rsidR="00717687" w:rsidRDefault="0071768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wittern</w:t>
      </w:r>
      <w:proofErr w:type="spellEnd"/>
      <w:r>
        <w:t>: vejre, lugte, spore</w:t>
      </w:r>
    </w:p>
  </w:footnote>
  <w:footnote w:id="5">
    <w:p w:rsidR="00717687" w:rsidRDefault="0071768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Verdächtig</w:t>
      </w:r>
      <w:proofErr w:type="spellEnd"/>
      <w:r>
        <w:t>: mistænkt</w:t>
      </w:r>
    </w:p>
  </w:footnote>
  <w:footnote w:id="6">
    <w:p w:rsidR="00717687" w:rsidRDefault="0071768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Bespitzeln</w:t>
      </w:r>
      <w:proofErr w:type="spellEnd"/>
      <w:r>
        <w:t>: udspionere</w:t>
      </w:r>
    </w:p>
  </w:footnote>
  <w:footnote w:id="7">
    <w:p w:rsidR="009D4F11" w:rsidRDefault="009D4F1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Angestellte</w:t>
      </w:r>
      <w:proofErr w:type="spellEnd"/>
      <w:r>
        <w:t>(r): ansat, personale</w:t>
      </w:r>
    </w:p>
  </w:footnote>
  <w:footnote w:id="8">
    <w:p w:rsidR="009D4F11" w:rsidRDefault="009D4F1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Druck</w:t>
      </w:r>
      <w:proofErr w:type="spellEnd"/>
      <w:r>
        <w:t xml:space="preserve"> (m): pres</w:t>
      </w:r>
    </w:p>
  </w:footnote>
  <w:footnote w:id="9">
    <w:p w:rsidR="009D4F11" w:rsidRDefault="009D4F1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Unterlage</w:t>
      </w:r>
      <w:proofErr w:type="spellEnd"/>
      <w:r>
        <w:t xml:space="preserve"> (f): bilag, papir</w:t>
      </w:r>
    </w:p>
  </w:footnote>
  <w:footnote w:id="10">
    <w:p w:rsidR="009D4F11" w:rsidRDefault="009D4F1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Regeln</w:t>
      </w:r>
      <w:proofErr w:type="spellEnd"/>
      <w:r>
        <w:t xml:space="preserve">. </w:t>
      </w:r>
      <w:r>
        <w:t>regulere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B7"/>
    <w:rsid w:val="00236CB7"/>
    <w:rsid w:val="003108D5"/>
    <w:rsid w:val="003E459D"/>
    <w:rsid w:val="00717687"/>
    <w:rsid w:val="009D4F11"/>
    <w:rsid w:val="00E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AA7"/>
  <w15:chartTrackingRefBased/>
  <w15:docId w15:val="{17496AEE-9999-4E16-AD05-B1E76981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459D"/>
    <w:rPr>
      <w:color w:val="0563C1" w:themeColor="hyperlink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717687"/>
  </w:style>
  <w:style w:type="paragraph" w:styleId="Fodnotetekst">
    <w:name w:val="footnote text"/>
    <w:basedOn w:val="Normal"/>
    <w:link w:val="FodnotetekstTegn"/>
    <w:uiPriority w:val="99"/>
    <w:semiHidden/>
    <w:unhideWhenUsed/>
    <w:rsid w:val="0071768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768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7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wieso.de/portal/lexikon/842" TargetMode="External"/><Relationship Id="rId13" Type="http://schemas.openxmlformats.org/officeDocument/2006/relationships/hyperlink" Target="http://www.sowieso.de/portal/lexikon/984" TargetMode="External"/><Relationship Id="rId18" Type="http://schemas.openxmlformats.org/officeDocument/2006/relationships/hyperlink" Target="http://www.sowieso.de/portal/lexikon/8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owieso.de/portal/lexikon/984" TargetMode="External"/><Relationship Id="rId12" Type="http://schemas.openxmlformats.org/officeDocument/2006/relationships/hyperlink" Target="http://www.sowieso.de/portal/lexikon/953" TargetMode="External"/><Relationship Id="rId17" Type="http://schemas.openxmlformats.org/officeDocument/2006/relationships/hyperlink" Target="http://www.sowieso.de/portal/lexikon/9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wieso.de/portal/lexikon/842" TargetMode="External"/><Relationship Id="rId20" Type="http://schemas.openxmlformats.org/officeDocument/2006/relationships/hyperlink" Target="http://www.sowieso.de/portal/lexikon/9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wieso.de/portal/lexikon/9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wieso.de/portal/lexikon/984" TargetMode="External"/><Relationship Id="rId10" Type="http://schemas.openxmlformats.org/officeDocument/2006/relationships/hyperlink" Target="http://www.sowieso.de/portal/lexikon/842" TargetMode="External"/><Relationship Id="rId19" Type="http://schemas.openxmlformats.org/officeDocument/2006/relationships/hyperlink" Target="http://www.sowieso.de/portal/lexikon/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wieso.de/portal/lexikon/842" TargetMode="External"/><Relationship Id="rId14" Type="http://schemas.openxmlformats.org/officeDocument/2006/relationships/hyperlink" Target="http://www.sowieso.de/portal/lexikon/9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741-6231-4B36-9664-99EA4043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3</cp:revision>
  <dcterms:created xsi:type="dcterms:W3CDTF">2018-01-11T12:16:00Z</dcterms:created>
  <dcterms:modified xsi:type="dcterms:W3CDTF">2018-02-22T08:53:00Z</dcterms:modified>
</cp:coreProperties>
</file>