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25E6" w14:textId="77777777" w:rsidR="00292BAC" w:rsidRDefault="00292BAC" w:rsidP="00292BAC">
      <w:pPr>
        <w:pStyle w:val="Title"/>
      </w:pPr>
      <w:r>
        <w:t>Hubbles lov</w:t>
      </w:r>
    </w:p>
    <w:tbl>
      <w:tblPr>
        <w:tblpPr w:leftFromText="141" w:rightFromText="141" w:vertAnchor="text" w:horzAnchor="margin" w:tblpXSpec="right" w:tblpY="216"/>
        <w:tblOverlap w:val="never"/>
        <w:tblW w:w="3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1199"/>
        <w:gridCol w:w="1322"/>
      </w:tblGrid>
      <w:tr w:rsidR="00292BAC" w:rsidRPr="00842194" w14:paraId="72DDD334" w14:textId="77777777" w:rsidTr="00501DAF">
        <w:trPr>
          <w:trHeight w:hRule="exact" w:val="284"/>
        </w:trPr>
        <w:tc>
          <w:tcPr>
            <w:tcW w:w="1211" w:type="dxa"/>
            <w:tcBorders>
              <w:right w:val="double" w:sz="4" w:space="0" w:color="auto"/>
            </w:tcBorders>
          </w:tcPr>
          <w:p w14:paraId="0826BDD4" w14:textId="77777777" w:rsidR="00292BAC" w:rsidRPr="00842194" w:rsidRDefault="00292BAC" w:rsidP="00501DAF">
            <w:pPr>
              <w:rPr>
                <w:sz w:val="18"/>
                <w:szCs w:val="18"/>
              </w:rPr>
            </w:pPr>
            <w:r w:rsidRPr="00842194">
              <w:rPr>
                <w:sz w:val="18"/>
                <w:szCs w:val="18"/>
              </w:rPr>
              <w:t>Navn</w:t>
            </w:r>
          </w:p>
        </w:tc>
        <w:tc>
          <w:tcPr>
            <w:tcW w:w="1199" w:type="dxa"/>
            <w:tcBorders>
              <w:left w:val="double" w:sz="4" w:space="0" w:color="auto"/>
            </w:tcBorders>
          </w:tcPr>
          <w:p w14:paraId="514D1640" w14:textId="77777777" w:rsidR="00292BAC" w:rsidRPr="00842194" w:rsidRDefault="00292BAC" w:rsidP="00501DAF">
            <w:pPr>
              <w:rPr>
                <w:sz w:val="18"/>
                <w:szCs w:val="18"/>
              </w:rPr>
            </w:pPr>
            <w:r w:rsidRPr="00842194">
              <w:rPr>
                <w:sz w:val="18"/>
                <w:szCs w:val="18"/>
              </w:rPr>
              <w:t>Afstand=r</w:t>
            </w:r>
          </w:p>
        </w:tc>
        <w:tc>
          <w:tcPr>
            <w:tcW w:w="1322" w:type="dxa"/>
          </w:tcPr>
          <w:p w14:paraId="155B83D9" w14:textId="77777777" w:rsidR="00292BAC" w:rsidRPr="00842194" w:rsidRDefault="00292BAC" w:rsidP="00501DAF">
            <w:pPr>
              <w:rPr>
                <w:sz w:val="18"/>
                <w:szCs w:val="18"/>
              </w:rPr>
            </w:pPr>
            <w:r w:rsidRPr="00842194">
              <w:rPr>
                <w:sz w:val="18"/>
                <w:szCs w:val="18"/>
              </w:rPr>
              <w:t>Hastighed=v</w:t>
            </w:r>
          </w:p>
        </w:tc>
      </w:tr>
      <w:tr w:rsidR="00292BAC" w:rsidRPr="00842194" w14:paraId="77DF1661" w14:textId="77777777" w:rsidTr="00501DAF">
        <w:trPr>
          <w:trHeight w:hRule="exact" w:val="284"/>
        </w:trPr>
        <w:tc>
          <w:tcPr>
            <w:tcW w:w="1211" w:type="dxa"/>
            <w:tcBorders>
              <w:bottom w:val="double" w:sz="4" w:space="0" w:color="auto"/>
              <w:right w:val="double" w:sz="4" w:space="0" w:color="auto"/>
            </w:tcBorders>
          </w:tcPr>
          <w:p w14:paraId="42FC54A5" w14:textId="77777777" w:rsidR="00292BAC" w:rsidRPr="00842194" w:rsidRDefault="00292BAC" w:rsidP="00501DAF">
            <w:pPr>
              <w:rPr>
                <w:sz w:val="18"/>
                <w:szCs w:val="18"/>
              </w:rPr>
            </w:pPr>
          </w:p>
        </w:tc>
        <w:tc>
          <w:tcPr>
            <w:tcW w:w="1199" w:type="dxa"/>
            <w:tcBorders>
              <w:left w:val="double" w:sz="4" w:space="0" w:color="auto"/>
              <w:bottom w:val="double" w:sz="4" w:space="0" w:color="auto"/>
            </w:tcBorders>
          </w:tcPr>
          <w:p w14:paraId="65482737" w14:textId="1770A5E1" w:rsidR="00292BAC" w:rsidRPr="00842194" w:rsidRDefault="00292BAC" w:rsidP="00501DAF">
            <w:pPr>
              <w:rPr>
                <w:sz w:val="18"/>
                <w:szCs w:val="18"/>
              </w:rPr>
            </w:pPr>
            <w:proofErr w:type="spellStart"/>
            <w:r w:rsidRPr="00842194">
              <w:rPr>
                <w:sz w:val="18"/>
                <w:szCs w:val="18"/>
              </w:rPr>
              <w:t>Mly</w:t>
            </w:r>
            <w:proofErr w:type="spellEnd"/>
          </w:p>
        </w:tc>
        <w:tc>
          <w:tcPr>
            <w:tcW w:w="1322" w:type="dxa"/>
            <w:tcBorders>
              <w:bottom w:val="double" w:sz="4" w:space="0" w:color="auto"/>
            </w:tcBorders>
          </w:tcPr>
          <w:p w14:paraId="1C154AB1" w14:textId="30AAF777" w:rsidR="00292BAC" w:rsidRPr="00842194" w:rsidRDefault="00292BAC" w:rsidP="00501DAF">
            <w:pPr>
              <w:rPr>
                <w:sz w:val="18"/>
                <w:szCs w:val="18"/>
              </w:rPr>
            </w:pPr>
            <w:r w:rsidRPr="00842194">
              <w:rPr>
                <w:sz w:val="18"/>
                <w:szCs w:val="18"/>
              </w:rPr>
              <w:t>km/s</w:t>
            </w:r>
          </w:p>
        </w:tc>
      </w:tr>
      <w:tr w:rsidR="00292BAC" w:rsidRPr="00842194" w14:paraId="68CA7A98" w14:textId="77777777" w:rsidTr="00501DAF">
        <w:trPr>
          <w:trHeight w:hRule="exact" w:val="284"/>
        </w:trPr>
        <w:tc>
          <w:tcPr>
            <w:tcW w:w="1211" w:type="dxa"/>
            <w:tcBorders>
              <w:top w:val="double" w:sz="4" w:space="0" w:color="auto"/>
              <w:right w:val="double" w:sz="4" w:space="0" w:color="auto"/>
            </w:tcBorders>
          </w:tcPr>
          <w:p w14:paraId="446A7C47" w14:textId="77777777" w:rsidR="00292BAC" w:rsidRPr="00842194" w:rsidRDefault="00292BAC" w:rsidP="00501DAF">
            <w:pPr>
              <w:rPr>
                <w:sz w:val="18"/>
                <w:szCs w:val="18"/>
              </w:rPr>
            </w:pPr>
            <w:r w:rsidRPr="00842194">
              <w:rPr>
                <w:sz w:val="18"/>
                <w:szCs w:val="18"/>
              </w:rPr>
              <w:t>Uma</w:t>
            </w:r>
          </w:p>
        </w:tc>
        <w:tc>
          <w:tcPr>
            <w:tcW w:w="1199" w:type="dxa"/>
            <w:tcBorders>
              <w:top w:val="double" w:sz="4" w:space="0" w:color="auto"/>
              <w:left w:val="double" w:sz="4" w:space="0" w:color="auto"/>
            </w:tcBorders>
          </w:tcPr>
          <w:p w14:paraId="442E7EFE" w14:textId="77777777" w:rsidR="00292BAC" w:rsidRPr="00842194" w:rsidRDefault="00292BAC" w:rsidP="00501DAF">
            <w:pPr>
              <w:rPr>
                <w:sz w:val="18"/>
                <w:szCs w:val="18"/>
              </w:rPr>
            </w:pPr>
            <w:r>
              <w:rPr>
                <w:sz w:val="18"/>
                <w:szCs w:val="18"/>
              </w:rPr>
              <w:t>80,</w:t>
            </w:r>
            <w:r w:rsidRPr="00842194">
              <w:rPr>
                <w:sz w:val="18"/>
                <w:szCs w:val="18"/>
              </w:rPr>
              <w:t>1</w:t>
            </w:r>
          </w:p>
        </w:tc>
        <w:tc>
          <w:tcPr>
            <w:tcW w:w="1322" w:type="dxa"/>
            <w:tcBorders>
              <w:top w:val="double" w:sz="4" w:space="0" w:color="auto"/>
            </w:tcBorders>
          </w:tcPr>
          <w:p w14:paraId="46CAAFE3" w14:textId="428E329E" w:rsidR="00292BAC" w:rsidRPr="00842194" w:rsidRDefault="00292BAC" w:rsidP="00501DAF">
            <w:pPr>
              <w:rPr>
                <w:sz w:val="18"/>
                <w:szCs w:val="18"/>
              </w:rPr>
            </w:pPr>
            <w:r>
              <w:rPr>
                <w:sz w:val="18"/>
                <w:szCs w:val="18"/>
              </w:rPr>
              <w:t>1</w:t>
            </w:r>
            <w:r w:rsidRPr="00842194">
              <w:rPr>
                <w:sz w:val="18"/>
                <w:szCs w:val="18"/>
              </w:rPr>
              <w:t>27</w:t>
            </w:r>
            <w:r w:rsidR="003267DC">
              <w:rPr>
                <w:sz w:val="18"/>
                <w:szCs w:val="18"/>
              </w:rPr>
              <w:t>0</w:t>
            </w:r>
          </w:p>
        </w:tc>
      </w:tr>
      <w:tr w:rsidR="00292BAC" w:rsidRPr="00842194" w14:paraId="77D98321" w14:textId="77777777" w:rsidTr="00501DAF">
        <w:trPr>
          <w:trHeight w:hRule="exact" w:val="284"/>
        </w:trPr>
        <w:tc>
          <w:tcPr>
            <w:tcW w:w="1211" w:type="dxa"/>
            <w:tcBorders>
              <w:right w:val="double" w:sz="4" w:space="0" w:color="auto"/>
            </w:tcBorders>
          </w:tcPr>
          <w:p w14:paraId="3ACDFEF9" w14:textId="77777777" w:rsidR="00292BAC" w:rsidRPr="00842194" w:rsidRDefault="00292BAC" w:rsidP="00501DAF">
            <w:pPr>
              <w:rPr>
                <w:sz w:val="18"/>
                <w:szCs w:val="18"/>
              </w:rPr>
            </w:pPr>
            <w:proofErr w:type="spellStart"/>
            <w:r w:rsidRPr="00842194">
              <w:rPr>
                <w:sz w:val="18"/>
                <w:szCs w:val="18"/>
              </w:rPr>
              <w:t>Fornax</w:t>
            </w:r>
            <w:proofErr w:type="spellEnd"/>
          </w:p>
        </w:tc>
        <w:tc>
          <w:tcPr>
            <w:tcW w:w="1199" w:type="dxa"/>
            <w:tcBorders>
              <w:left w:val="double" w:sz="4" w:space="0" w:color="auto"/>
            </w:tcBorders>
          </w:tcPr>
          <w:p w14:paraId="0BBB6390" w14:textId="77777777" w:rsidR="00292BAC" w:rsidRPr="00842194" w:rsidRDefault="00292BAC" w:rsidP="00501DAF">
            <w:pPr>
              <w:rPr>
                <w:sz w:val="18"/>
                <w:szCs w:val="18"/>
              </w:rPr>
            </w:pPr>
            <w:r>
              <w:rPr>
                <w:sz w:val="18"/>
                <w:szCs w:val="18"/>
              </w:rPr>
              <w:t>78,</w:t>
            </w:r>
            <w:r w:rsidRPr="00842194">
              <w:rPr>
                <w:sz w:val="18"/>
                <w:szCs w:val="18"/>
              </w:rPr>
              <w:t>2</w:t>
            </w:r>
          </w:p>
        </w:tc>
        <w:tc>
          <w:tcPr>
            <w:tcW w:w="1322" w:type="dxa"/>
          </w:tcPr>
          <w:p w14:paraId="2EE73B45" w14:textId="6FD16D5C" w:rsidR="00292BAC" w:rsidRPr="00842194" w:rsidRDefault="00292BAC" w:rsidP="00501DAF">
            <w:pPr>
              <w:rPr>
                <w:sz w:val="18"/>
                <w:szCs w:val="18"/>
              </w:rPr>
            </w:pPr>
            <w:r>
              <w:rPr>
                <w:sz w:val="18"/>
                <w:szCs w:val="18"/>
              </w:rPr>
              <w:t>1</w:t>
            </w:r>
            <w:r w:rsidRPr="00842194">
              <w:rPr>
                <w:sz w:val="18"/>
                <w:szCs w:val="18"/>
              </w:rPr>
              <w:t>38</w:t>
            </w:r>
            <w:r w:rsidR="003267DC">
              <w:rPr>
                <w:sz w:val="18"/>
                <w:szCs w:val="18"/>
              </w:rPr>
              <w:t>0</w:t>
            </w:r>
          </w:p>
        </w:tc>
      </w:tr>
      <w:tr w:rsidR="00292BAC" w:rsidRPr="00842194" w14:paraId="48160548" w14:textId="77777777" w:rsidTr="00501DAF">
        <w:trPr>
          <w:trHeight w:hRule="exact" w:val="284"/>
        </w:trPr>
        <w:tc>
          <w:tcPr>
            <w:tcW w:w="1211" w:type="dxa"/>
            <w:tcBorders>
              <w:right w:val="double" w:sz="4" w:space="0" w:color="auto"/>
            </w:tcBorders>
          </w:tcPr>
          <w:p w14:paraId="6E888A9D" w14:textId="77777777" w:rsidR="00292BAC" w:rsidRPr="00842194" w:rsidRDefault="00292BAC" w:rsidP="00501DAF">
            <w:pPr>
              <w:rPr>
                <w:sz w:val="18"/>
                <w:szCs w:val="18"/>
              </w:rPr>
            </w:pPr>
            <w:proofErr w:type="spellStart"/>
            <w:r w:rsidRPr="00842194">
              <w:rPr>
                <w:sz w:val="18"/>
                <w:szCs w:val="18"/>
              </w:rPr>
              <w:t>Centaurus</w:t>
            </w:r>
            <w:proofErr w:type="spellEnd"/>
          </w:p>
        </w:tc>
        <w:tc>
          <w:tcPr>
            <w:tcW w:w="1199" w:type="dxa"/>
            <w:tcBorders>
              <w:left w:val="double" w:sz="4" w:space="0" w:color="auto"/>
            </w:tcBorders>
          </w:tcPr>
          <w:p w14:paraId="073A8C05" w14:textId="77777777" w:rsidR="00292BAC" w:rsidRPr="00842194" w:rsidRDefault="00292BAC" w:rsidP="00501DAF">
            <w:pPr>
              <w:rPr>
                <w:sz w:val="18"/>
                <w:szCs w:val="18"/>
              </w:rPr>
            </w:pPr>
            <w:r w:rsidRPr="00842194">
              <w:rPr>
                <w:sz w:val="18"/>
                <w:szCs w:val="18"/>
              </w:rPr>
              <w:t>203</w:t>
            </w:r>
          </w:p>
        </w:tc>
        <w:tc>
          <w:tcPr>
            <w:tcW w:w="1322" w:type="dxa"/>
          </w:tcPr>
          <w:p w14:paraId="6C1A4D57" w14:textId="1D0CA2D7" w:rsidR="00292BAC" w:rsidRPr="00842194" w:rsidRDefault="00292BAC" w:rsidP="00501DAF">
            <w:pPr>
              <w:rPr>
                <w:sz w:val="18"/>
                <w:szCs w:val="18"/>
              </w:rPr>
            </w:pPr>
            <w:r>
              <w:rPr>
                <w:sz w:val="18"/>
                <w:szCs w:val="18"/>
              </w:rPr>
              <w:t>3</w:t>
            </w:r>
            <w:r w:rsidRPr="00842194">
              <w:rPr>
                <w:sz w:val="18"/>
                <w:szCs w:val="18"/>
              </w:rPr>
              <w:t>39</w:t>
            </w:r>
            <w:r w:rsidR="003267DC">
              <w:rPr>
                <w:sz w:val="18"/>
                <w:szCs w:val="18"/>
              </w:rPr>
              <w:t>0</w:t>
            </w:r>
          </w:p>
        </w:tc>
      </w:tr>
      <w:tr w:rsidR="00292BAC" w:rsidRPr="00842194" w14:paraId="5989A5DF" w14:textId="77777777" w:rsidTr="00501DAF">
        <w:trPr>
          <w:trHeight w:hRule="exact" w:val="284"/>
        </w:trPr>
        <w:tc>
          <w:tcPr>
            <w:tcW w:w="1211" w:type="dxa"/>
            <w:tcBorders>
              <w:right w:val="double" w:sz="4" w:space="0" w:color="auto"/>
            </w:tcBorders>
          </w:tcPr>
          <w:p w14:paraId="0FD56C9B" w14:textId="77777777" w:rsidR="00292BAC" w:rsidRPr="00842194" w:rsidRDefault="00292BAC" w:rsidP="00501DAF">
            <w:pPr>
              <w:rPr>
                <w:sz w:val="18"/>
                <w:szCs w:val="18"/>
              </w:rPr>
            </w:pPr>
            <w:r w:rsidRPr="00842194">
              <w:rPr>
                <w:sz w:val="18"/>
                <w:szCs w:val="18"/>
              </w:rPr>
              <w:t>Hydra I</w:t>
            </w:r>
          </w:p>
        </w:tc>
        <w:tc>
          <w:tcPr>
            <w:tcW w:w="1199" w:type="dxa"/>
            <w:tcBorders>
              <w:left w:val="double" w:sz="4" w:space="0" w:color="auto"/>
            </w:tcBorders>
          </w:tcPr>
          <w:p w14:paraId="09B43ACC" w14:textId="77777777" w:rsidR="00292BAC" w:rsidRPr="00842194" w:rsidRDefault="00292BAC" w:rsidP="00501DAF">
            <w:pPr>
              <w:rPr>
                <w:sz w:val="18"/>
                <w:szCs w:val="18"/>
              </w:rPr>
            </w:pPr>
            <w:r w:rsidRPr="00842194">
              <w:rPr>
                <w:sz w:val="18"/>
                <w:szCs w:val="18"/>
              </w:rPr>
              <w:t>242</w:t>
            </w:r>
          </w:p>
        </w:tc>
        <w:tc>
          <w:tcPr>
            <w:tcW w:w="1322" w:type="dxa"/>
          </w:tcPr>
          <w:p w14:paraId="62405855" w14:textId="27938304" w:rsidR="00292BAC" w:rsidRPr="00842194" w:rsidRDefault="00292BAC" w:rsidP="00501DAF">
            <w:pPr>
              <w:rPr>
                <w:sz w:val="18"/>
                <w:szCs w:val="18"/>
              </w:rPr>
            </w:pPr>
            <w:r>
              <w:rPr>
                <w:sz w:val="18"/>
                <w:szCs w:val="18"/>
              </w:rPr>
              <w:t>3</w:t>
            </w:r>
            <w:r w:rsidRPr="00842194">
              <w:rPr>
                <w:sz w:val="18"/>
                <w:szCs w:val="18"/>
              </w:rPr>
              <w:t>49</w:t>
            </w:r>
            <w:r w:rsidR="003267DC">
              <w:rPr>
                <w:sz w:val="18"/>
                <w:szCs w:val="18"/>
              </w:rPr>
              <w:t>0</w:t>
            </w:r>
          </w:p>
        </w:tc>
      </w:tr>
      <w:tr w:rsidR="00292BAC" w:rsidRPr="00842194" w14:paraId="0531CFF1" w14:textId="77777777" w:rsidTr="00501DAF">
        <w:trPr>
          <w:trHeight w:hRule="exact" w:val="284"/>
        </w:trPr>
        <w:tc>
          <w:tcPr>
            <w:tcW w:w="1211" w:type="dxa"/>
            <w:tcBorders>
              <w:right w:val="double" w:sz="4" w:space="0" w:color="auto"/>
            </w:tcBorders>
          </w:tcPr>
          <w:p w14:paraId="10AD328F" w14:textId="77777777" w:rsidR="00292BAC" w:rsidRPr="00842194" w:rsidRDefault="00292BAC" w:rsidP="00501DAF">
            <w:pPr>
              <w:rPr>
                <w:sz w:val="18"/>
                <w:szCs w:val="18"/>
              </w:rPr>
            </w:pPr>
            <w:r w:rsidRPr="00842194">
              <w:rPr>
                <w:sz w:val="18"/>
                <w:szCs w:val="18"/>
              </w:rPr>
              <w:t>Pegasus</w:t>
            </w:r>
          </w:p>
        </w:tc>
        <w:tc>
          <w:tcPr>
            <w:tcW w:w="1199" w:type="dxa"/>
            <w:tcBorders>
              <w:left w:val="double" w:sz="4" w:space="0" w:color="auto"/>
            </w:tcBorders>
          </w:tcPr>
          <w:p w14:paraId="5F79438E" w14:textId="77777777" w:rsidR="00292BAC" w:rsidRPr="00842194" w:rsidRDefault="00292BAC" w:rsidP="00501DAF">
            <w:pPr>
              <w:rPr>
                <w:sz w:val="18"/>
                <w:szCs w:val="18"/>
              </w:rPr>
            </w:pPr>
            <w:r w:rsidRPr="00842194">
              <w:rPr>
                <w:sz w:val="18"/>
                <w:szCs w:val="18"/>
              </w:rPr>
              <w:t>215</w:t>
            </w:r>
          </w:p>
        </w:tc>
        <w:tc>
          <w:tcPr>
            <w:tcW w:w="1322" w:type="dxa"/>
          </w:tcPr>
          <w:p w14:paraId="4A2193D9" w14:textId="34D2B6DE" w:rsidR="00292BAC" w:rsidRPr="00842194" w:rsidRDefault="00292BAC" w:rsidP="00501DAF">
            <w:pPr>
              <w:rPr>
                <w:sz w:val="18"/>
                <w:szCs w:val="18"/>
              </w:rPr>
            </w:pPr>
            <w:r>
              <w:rPr>
                <w:sz w:val="18"/>
                <w:szCs w:val="18"/>
              </w:rPr>
              <w:t>3</w:t>
            </w:r>
            <w:r w:rsidRPr="00842194">
              <w:rPr>
                <w:sz w:val="18"/>
                <w:szCs w:val="18"/>
              </w:rPr>
              <w:t>88</w:t>
            </w:r>
            <w:r w:rsidR="003267DC">
              <w:rPr>
                <w:sz w:val="18"/>
                <w:szCs w:val="18"/>
              </w:rPr>
              <w:t>0</w:t>
            </w:r>
          </w:p>
        </w:tc>
      </w:tr>
      <w:tr w:rsidR="00292BAC" w:rsidRPr="00842194" w14:paraId="1C1225AD" w14:textId="77777777" w:rsidTr="00501DAF">
        <w:trPr>
          <w:trHeight w:hRule="exact" w:val="284"/>
        </w:trPr>
        <w:tc>
          <w:tcPr>
            <w:tcW w:w="1211" w:type="dxa"/>
            <w:tcBorders>
              <w:right w:val="double" w:sz="4" w:space="0" w:color="auto"/>
            </w:tcBorders>
          </w:tcPr>
          <w:p w14:paraId="6302F770" w14:textId="77777777" w:rsidR="00292BAC" w:rsidRPr="00842194" w:rsidRDefault="00292BAC" w:rsidP="00501DAF">
            <w:pPr>
              <w:rPr>
                <w:sz w:val="18"/>
                <w:szCs w:val="18"/>
              </w:rPr>
            </w:pPr>
            <w:r w:rsidRPr="00842194">
              <w:rPr>
                <w:sz w:val="18"/>
                <w:szCs w:val="18"/>
              </w:rPr>
              <w:t>Cancer</w:t>
            </w:r>
          </w:p>
        </w:tc>
        <w:tc>
          <w:tcPr>
            <w:tcW w:w="1199" w:type="dxa"/>
            <w:tcBorders>
              <w:left w:val="double" w:sz="4" w:space="0" w:color="auto"/>
            </w:tcBorders>
          </w:tcPr>
          <w:p w14:paraId="03DB67F2" w14:textId="77777777" w:rsidR="00292BAC" w:rsidRPr="00842194" w:rsidRDefault="00292BAC" w:rsidP="00501DAF">
            <w:pPr>
              <w:rPr>
                <w:sz w:val="18"/>
                <w:szCs w:val="18"/>
              </w:rPr>
            </w:pPr>
            <w:r w:rsidRPr="00842194">
              <w:rPr>
                <w:sz w:val="18"/>
                <w:szCs w:val="18"/>
              </w:rPr>
              <w:t>298</w:t>
            </w:r>
          </w:p>
        </w:tc>
        <w:tc>
          <w:tcPr>
            <w:tcW w:w="1322" w:type="dxa"/>
          </w:tcPr>
          <w:p w14:paraId="132F63BE" w14:textId="238E6257" w:rsidR="00292BAC" w:rsidRPr="00842194" w:rsidRDefault="00292BAC" w:rsidP="00501DAF">
            <w:pPr>
              <w:rPr>
                <w:sz w:val="18"/>
                <w:szCs w:val="18"/>
              </w:rPr>
            </w:pPr>
            <w:r>
              <w:rPr>
                <w:sz w:val="18"/>
                <w:szCs w:val="18"/>
              </w:rPr>
              <w:t>4</w:t>
            </w:r>
            <w:r w:rsidRPr="00842194">
              <w:rPr>
                <w:sz w:val="18"/>
                <w:szCs w:val="18"/>
              </w:rPr>
              <w:t>90</w:t>
            </w:r>
            <w:r w:rsidR="003267DC">
              <w:rPr>
                <w:sz w:val="18"/>
                <w:szCs w:val="18"/>
              </w:rPr>
              <w:t>0</w:t>
            </w:r>
          </w:p>
        </w:tc>
      </w:tr>
      <w:tr w:rsidR="00292BAC" w:rsidRPr="00842194" w14:paraId="47A42FE6" w14:textId="77777777" w:rsidTr="00501DAF">
        <w:trPr>
          <w:trHeight w:hRule="exact" w:val="284"/>
        </w:trPr>
        <w:tc>
          <w:tcPr>
            <w:tcW w:w="1211" w:type="dxa"/>
            <w:tcBorders>
              <w:right w:val="double" w:sz="4" w:space="0" w:color="auto"/>
            </w:tcBorders>
          </w:tcPr>
          <w:p w14:paraId="7F3C136B" w14:textId="77777777" w:rsidR="00292BAC" w:rsidRPr="00842194" w:rsidRDefault="00292BAC" w:rsidP="00501DAF">
            <w:pPr>
              <w:rPr>
                <w:sz w:val="18"/>
                <w:szCs w:val="18"/>
              </w:rPr>
            </w:pPr>
            <w:proofErr w:type="spellStart"/>
            <w:r w:rsidRPr="00842194">
              <w:rPr>
                <w:sz w:val="18"/>
                <w:szCs w:val="18"/>
              </w:rPr>
              <w:t>Pisces</w:t>
            </w:r>
            <w:proofErr w:type="spellEnd"/>
          </w:p>
        </w:tc>
        <w:tc>
          <w:tcPr>
            <w:tcW w:w="1199" w:type="dxa"/>
            <w:tcBorders>
              <w:left w:val="double" w:sz="4" w:space="0" w:color="auto"/>
            </w:tcBorders>
          </w:tcPr>
          <w:p w14:paraId="3EC1EB34" w14:textId="77777777" w:rsidR="00292BAC" w:rsidRPr="00842194" w:rsidRDefault="00292BAC" w:rsidP="00501DAF">
            <w:pPr>
              <w:rPr>
                <w:sz w:val="18"/>
                <w:szCs w:val="18"/>
              </w:rPr>
            </w:pPr>
            <w:r w:rsidRPr="00842194">
              <w:rPr>
                <w:sz w:val="18"/>
                <w:szCs w:val="18"/>
              </w:rPr>
              <w:t>283</w:t>
            </w:r>
          </w:p>
        </w:tc>
        <w:tc>
          <w:tcPr>
            <w:tcW w:w="1322" w:type="dxa"/>
          </w:tcPr>
          <w:p w14:paraId="306902FB" w14:textId="6E15215B" w:rsidR="00292BAC" w:rsidRPr="00842194" w:rsidRDefault="00292BAC" w:rsidP="00501DAF">
            <w:pPr>
              <w:rPr>
                <w:sz w:val="18"/>
                <w:szCs w:val="18"/>
              </w:rPr>
            </w:pPr>
            <w:r>
              <w:rPr>
                <w:sz w:val="18"/>
                <w:szCs w:val="18"/>
              </w:rPr>
              <w:t>5</w:t>
            </w:r>
            <w:r w:rsidRPr="00842194">
              <w:rPr>
                <w:sz w:val="18"/>
                <w:szCs w:val="18"/>
              </w:rPr>
              <w:t>11</w:t>
            </w:r>
            <w:r w:rsidR="003267DC">
              <w:rPr>
                <w:sz w:val="18"/>
                <w:szCs w:val="18"/>
              </w:rPr>
              <w:t>0</w:t>
            </w:r>
          </w:p>
        </w:tc>
      </w:tr>
      <w:tr w:rsidR="00292BAC" w:rsidRPr="00842194" w14:paraId="7D6D2B8F" w14:textId="77777777" w:rsidTr="00501DAF">
        <w:trPr>
          <w:trHeight w:hRule="exact" w:val="284"/>
        </w:trPr>
        <w:tc>
          <w:tcPr>
            <w:tcW w:w="1211" w:type="dxa"/>
            <w:tcBorders>
              <w:right w:val="double" w:sz="4" w:space="0" w:color="auto"/>
            </w:tcBorders>
          </w:tcPr>
          <w:p w14:paraId="00CE66CC" w14:textId="77777777" w:rsidR="00292BAC" w:rsidRPr="00842194" w:rsidRDefault="00292BAC" w:rsidP="00501DAF">
            <w:pPr>
              <w:rPr>
                <w:sz w:val="18"/>
                <w:szCs w:val="18"/>
              </w:rPr>
            </w:pPr>
            <w:proofErr w:type="spellStart"/>
            <w:r w:rsidRPr="00842194">
              <w:rPr>
                <w:sz w:val="18"/>
                <w:szCs w:val="18"/>
              </w:rPr>
              <w:t>Perseus</w:t>
            </w:r>
            <w:proofErr w:type="spellEnd"/>
          </w:p>
        </w:tc>
        <w:tc>
          <w:tcPr>
            <w:tcW w:w="1199" w:type="dxa"/>
            <w:tcBorders>
              <w:left w:val="double" w:sz="4" w:space="0" w:color="auto"/>
            </w:tcBorders>
          </w:tcPr>
          <w:p w14:paraId="094A443A" w14:textId="77777777" w:rsidR="00292BAC" w:rsidRPr="00842194" w:rsidRDefault="00292BAC" w:rsidP="00501DAF">
            <w:pPr>
              <w:rPr>
                <w:sz w:val="18"/>
                <w:szCs w:val="18"/>
              </w:rPr>
            </w:pPr>
            <w:r w:rsidRPr="00842194">
              <w:rPr>
                <w:sz w:val="18"/>
                <w:szCs w:val="18"/>
              </w:rPr>
              <w:t>323</w:t>
            </w:r>
          </w:p>
        </w:tc>
        <w:tc>
          <w:tcPr>
            <w:tcW w:w="1322" w:type="dxa"/>
          </w:tcPr>
          <w:p w14:paraId="01282DAE" w14:textId="0E6E6193" w:rsidR="00292BAC" w:rsidRPr="00842194" w:rsidRDefault="00292BAC" w:rsidP="00501DAF">
            <w:pPr>
              <w:rPr>
                <w:sz w:val="18"/>
                <w:szCs w:val="18"/>
              </w:rPr>
            </w:pPr>
            <w:r>
              <w:rPr>
                <w:sz w:val="18"/>
                <w:szCs w:val="18"/>
              </w:rPr>
              <w:t>5</w:t>
            </w:r>
            <w:r w:rsidRPr="00842194">
              <w:rPr>
                <w:sz w:val="18"/>
                <w:szCs w:val="18"/>
              </w:rPr>
              <w:t>47</w:t>
            </w:r>
            <w:r w:rsidR="003267DC">
              <w:rPr>
                <w:sz w:val="18"/>
                <w:szCs w:val="18"/>
              </w:rPr>
              <w:t>0</w:t>
            </w:r>
          </w:p>
        </w:tc>
      </w:tr>
      <w:tr w:rsidR="00292BAC" w:rsidRPr="00842194" w14:paraId="75F8D396" w14:textId="77777777" w:rsidTr="00501DAF">
        <w:trPr>
          <w:trHeight w:hRule="exact" w:val="284"/>
        </w:trPr>
        <w:tc>
          <w:tcPr>
            <w:tcW w:w="1211" w:type="dxa"/>
            <w:tcBorders>
              <w:right w:val="double" w:sz="4" w:space="0" w:color="auto"/>
            </w:tcBorders>
          </w:tcPr>
          <w:p w14:paraId="602D101C" w14:textId="77777777" w:rsidR="00292BAC" w:rsidRPr="00842194" w:rsidRDefault="00292BAC" w:rsidP="00501DAF">
            <w:pPr>
              <w:rPr>
                <w:sz w:val="18"/>
                <w:szCs w:val="18"/>
              </w:rPr>
            </w:pPr>
            <w:proofErr w:type="spellStart"/>
            <w:r w:rsidRPr="00842194">
              <w:rPr>
                <w:sz w:val="18"/>
                <w:szCs w:val="18"/>
              </w:rPr>
              <w:t>Zw</w:t>
            </w:r>
            <w:proofErr w:type="spellEnd"/>
            <w:r w:rsidRPr="00842194">
              <w:rPr>
                <w:sz w:val="18"/>
                <w:szCs w:val="18"/>
              </w:rPr>
              <w:t xml:space="preserve"> 74-23</w:t>
            </w:r>
          </w:p>
        </w:tc>
        <w:tc>
          <w:tcPr>
            <w:tcW w:w="1199" w:type="dxa"/>
            <w:tcBorders>
              <w:left w:val="double" w:sz="4" w:space="0" w:color="auto"/>
            </w:tcBorders>
          </w:tcPr>
          <w:p w14:paraId="3BCFF93C" w14:textId="77777777" w:rsidR="00292BAC" w:rsidRPr="00842194" w:rsidRDefault="00292BAC" w:rsidP="00501DAF">
            <w:pPr>
              <w:rPr>
                <w:sz w:val="18"/>
                <w:szCs w:val="18"/>
              </w:rPr>
            </w:pPr>
            <w:r w:rsidRPr="00842194">
              <w:rPr>
                <w:sz w:val="18"/>
                <w:szCs w:val="18"/>
              </w:rPr>
              <w:t>375</w:t>
            </w:r>
          </w:p>
        </w:tc>
        <w:tc>
          <w:tcPr>
            <w:tcW w:w="1322" w:type="dxa"/>
          </w:tcPr>
          <w:p w14:paraId="34993E53" w14:textId="532D3C30" w:rsidR="00292BAC" w:rsidRPr="00842194" w:rsidRDefault="00292BAC" w:rsidP="00501DAF">
            <w:pPr>
              <w:rPr>
                <w:sz w:val="18"/>
                <w:szCs w:val="18"/>
              </w:rPr>
            </w:pPr>
            <w:r>
              <w:rPr>
                <w:sz w:val="18"/>
                <w:szCs w:val="18"/>
              </w:rPr>
              <w:t>6</w:t>
            </w:r>
            <w:r w:rsidRPr="00842194">
              <w:rPr>
                <w:sz w:val="18"/>
                <w:szCs w:val="18"/>
              </w:rPr>
              <w:t>23</w:t>
            </w:r>
            <w:r w:rsidR="003267DC">
              <w:rPr>
                <w:sz w:val="18"/>
                <w:szCs w:val="18"/>
              </w:rPr>
              <w:t>0</w:t>
            </w:r>
          </w:p>
        </w:tc>
      </w:tr>
      <w:tr w:rsidR="00292BAC" w:rsidRPr="00842194" w14:paraId="190DB0C8" w14:textId="77777777" w:rsidTr="00501DAF">
        <w:trPr>
          <w:trHeight w:hRule="exact" w:val="284"/>
        </w:trPr>
        <w:tc>
          <w:tcPr>
            <w:tcW w:w="1211" w:type="dxa"/>
            <w:tcBorders>
              <w:right w:val="double" w:sz="4" w:space="0" w:color="auto"/>
            </w:tcBorders>
          </w:tcPr>
          <w:p w14:paraId="65DA0EBC" w14:textId="77777777" w:rsidR="00292BAC" w:rsidRPr="00842194" w:rsidRDefault="00292BAC" w:rsidP="00501DAF">
            <w:pPr>
              <w:rPr>
                <w:sz w:val="18"/>
                <w:szCs w:val="18"/>
              </w:rPr>
            </w:pPr>
            <w:r w:rsidRPr="00842194">
              <w:rPr>
                <w:sz w:val="18"/>
                <w:szCs w:val="18"/>
              </w:rPr>
              <w:t>A1367</w:t>
            </w:r>
          </w:p>
        </w:tc>
        <w:tc>
          <w:tcPr>
            <w:tcW w:w="1199" w:type="dxa"/>
            <w:tcBorders>
              <w:left w:val="double" w:sz="4" w:space="0" w:color="auto"/>
            </w:tcBorders>
          </w:tcPr>
          <w:p w14:paraId="79743C0D" w14:textId="77777777" w:rsidR="00292BAC" w:rsidRPr="00842194" w:rsidRDefault="00292BAC" w:rsidP="00501DAF">
            <w:pPr>
              <w:rPr>
                <w:sz w:val="18"/>
                <w:szCs w:val="18"/>
              </w:rPr>
            </w:pPr>
            <w:r w:rsidRPr="00842194">
              <w:rPr>
                <w:sz w:val="18"/>
                <w:szCs w:val="18"/>
              </w:rPr>
              <w:t>394</w:t>
            </w:r>
          </w:p>
        </w:tc>
        <w:tc>
          <w:tcPr>
            <w:tcW w:w="1322" w:type="dxa"/>
          </w:tcPr>
          <w:p w14:paraId="7B30C54A" w14:textId="1480F436" w:rsidR="00292BAC" w:rsidRPr="00842194" w:rsidRDefault="00292BAC" w:rsidP="00501DAF">
            <w:pPr>
              <w:rPr>
                <w:sz w:val="18"/>
                <w:szCs w:val="18"/>
              </w:rPr>
            </w:pPr>
            <w:r>
              <w:rPr>
                <w:sz w:val="18"/>
                <w:szCs w:val="18"/>
              </w:rPr>
              <w:t>6</w:t>
            </w:r>
            <w:r w:rsidRPr="00842194">
              <w:rPr>
                <w:sz w:val="18"/>
                <w:szCs w:val="18"/>
              </w:rPr>
              <w:t>64</w:t>
            </w:r>
            <w:r w:rsidR="003267DC">
              <w:rPr>
                <w:sz w:val="18"/>
                <w:szCs w:val="18"/>
              </w:rPr>
              <w:t>0</w:t>
            </w:r>
          </w:p>
        </w:tc>
      </w:tr>
      <w:tr w:rsidR="00292BAC" w:rsidRPr="00842194" w14:paraId="350949AA" w14:textId="77777777" w:rsidTr="00501DAF">
        <w:trPr>
          <w:trHeight w:hRule="exact" w:val="284"/>
        </w:trPr>
        <w:tc>
          <w:tcPr>
            <w:tcW w:w="1211" w:type="dxa"/>
            <w:tcBorders>
              <w:right w:val="double" w:sz="4" w:space="0" w:color="auto"/>
            </w:tcBorders>
          </w:tcPr>
          <w:p w14:paraId="3D4396BD" w14:textId="77777777" w:rsidR="00292BAC" w:rsidRPr="00842194" w:rsidRDefault="00292BAC" w:rsidP="00501DAF">
            <w:pPr>
              <w:rPr>
                <w:sz w:val="18"/>
                <w:szCs w:val="18"/>
              </w:rPr>
            </w:pPr>
            <w:r w:rsidRPr="00842194">
              <w:rPr>
                <w:sz w:val="18"/>
                <w:szCs w:val="18"/>
              </w:rPr>
              <w:t>A400</w:t>
            </w:r>
          </w:p>
        </w:tc>
        <w:tc>
          <w:tcPr>
            <w:tcW w:w="1199" w:type="dxa"/>
            <w:tcBorders>
              <w:left w:val="double" w:sz="4" w:space="0" w:color="auto"/>
            </w:tcBorders>
          </w:tcPr>
          <w:p w14:paraId="64FA9F55" w14:textId="77777777" w:rsidR="00292BAC" w:rsidRPr="00842194" w:rsidRDefault="00292BAC" w:rsidP="00501DAF">
            <w:pPr>
              <w:rPr>
                <w:sz w:val="18"/>
                <w:szCs w:val="18"/>
              </w:rPr>
            </w:pPr>
            <w:r w:rsidRPr="00842194">
              <w:rPr>
                <w:sz w:val="18"/>
                <w:szCs w:val="18"/>
              </w:rPr>
              <w:t>461</w:t>
            </w:r>
          </w:p>
        </w:tc>
        <w:tc>
          <w:tcPr>
            <w:tcW w:w="1322" w:type="dxa"/>
          </w:tcPr>
          <w:p w14:paraId="7DBF7570" w14:textId="634304F2" w:rsidR="00292BAC" w:rsidRPr="00842194" w:rsidRDefault="00292BAC" w:rsidP="00501DAF">
            <w:pPr>
              <w:rPr>
                <w:sz w:val="18"/>
                <w:szCs w:val="18"/>
              </w:rPr>
            </w:pPr>
            <w:r>
              <w:rPr>
                <w:sz w:val="18"/>
                <w:szCs w:val="18"/>
              </w:rPr>
              <w:t>6</w:t>
            </w:r>
            <w:r w:rsidRPr="00842194">
              <w:rPr>
                <w:sz w:val="18"/>
                <w:szCs w:val="18"/>
              </w:rPr>
              <w:t>99</w:t>
            </w:r>
            <w:r w:rsidR="003267DC">
              <w:rPr>
                <w:sz w:val="18"/>
                <w:szCs w:val="18"/>
              </w:rPr>
              <w:t>0</w:t>
            </w:r>
          </w:p>
        </w:tc>
      </w:tr>
      <w:tr w:rsidR="00292BAC" w:rsidRPr="00842194" w14:paraId="2441D7BC" w14:textId="77777777" w:rsidTr="00501DAF">
        <w:trPr>
          <w:trHeight w:hRule="exact" w:val="284"/>
        </w:trPr>
        <w:tc>
          <w:tcPr>
            <w:tcW w:w="1211" w:type="dxa"/>
            <w:tcBorders>
              <w:right w:val="double" w:sz="4" w:space="0" w:color="auto"/>
            </w:tcBorders>
          </w:tcPr>
          <w:p w14:paraId="405BE1E3" w14:textId="77777777" w:rsidR="00292BAC" w:rsidRPr="00842194" w:rsidRDefault="00292BAC" w:rsidP="00501DAF">
            <w:pPr>
              <w:rPr>
                <w:sz w:val="18"/>
                <w:szCs w:val="18"/>
              </w:rPr>
            </w:pPr>
            <w:proofErr w:type="spellStart"/>
            <w:r w:rsidRPr="00842194">
              <w:rPr>
                <w:sz w:val="18"/>
                <w:szCs w:val="18"/>
              </w:rPr>
              <w:t>Coma</w:t>
            </w:r>
            <w:proofErr w:type="spellEnd"/>
          </w:p>
        </w:tc>
        <w:tc>
          <w:tcPr>
            <w:tcW w:w="1199" w:type="dxa"/>
            <w:tcBorders>
              <w:left w:val="double" w:sz="4" w:space="0" w:color="auto"/>
            </w:tcBorders>
          </w:tcPr>
          <w:p w14:paraId="1FF5A738" w14:textId="77777777" w:rsidR="00292BAC" w:rsidRPr="00842194" w:rsidRDefault="00292BAC" w:rsidP="00501DAF">
            <w:pPr>
              <w:rPr>
                <w:sz w:val="18"/>
                <w:szCs w:val="18"/>
              </w:rPr>
            </w:pPr>
            <w:r w:rsidRPr="00842194">
              <w:rPr>
                <w:sz w:val="18"/>
                <w:szCs w:val="18"/>
              </w:rPr>
              <w:t>411</w:t>
            </w:r>
          </w:p>
        </w:tc>
        <w:tc>
          <w:tcPr>
            <w:tcW w:w="1322" w:type="dxa"/>
          </w:tcPr>
          <w:p w14:paraId="2E1CDC72" w14:textId="2FD25D65" w:rsidR="00292BAC" w:rsidRPr="00842194" w:rsidRDefault="00292BAC" w:rsidP="00501DAF">
            <w:pPr>
              <w:rPr>
                <w:sz w:val="18"/>
                <w:szCs w:val="18"/>
              </w:rPr>
            </w:pPr>
            <w:r>
              <w:rPr>
                <w:sz w:val="18"/>
                <w:szCs w:val="18"/>
              </w:rPr>
              <w:t>7</w:t>
            </w:r>
            <w:r w:rsidRPr="00842194">
              <w:rPr>
                <w:sz w:val="18"/>
                <w:szCs w:val="18"/>
              </w:rPr>
              <w:t>14</w:t>
            </w:r>
            <w:r w:rsidR="003267DC">
              <w:rPr>
                <w:sz w:val="18"/>
                <w:szCs w:val="18"/>
              </w:rPr>
              <w:t>0</w:t>
            </w:r>
          </w:p>
        </w:tc>
      </w:tr>
      <w:tr w:rsidR="00292BAC" w:rsidRPr="00842194" w14:paraId="2267EB6C" w14:textId="77777777" w:rsidTr="00501DAF">
        <w:trPr>
          <w:trHeight w:hRule="exact" w:val="284"/>
        </w:trPr>
        <w:tc>
          <w:tcPr>
            <w:tcW w:w="1211" w:type="dxa"/>
            <w:tcBorders>
              <w:right w:val="double" w:sz="4" w:space="0" w:color="auto"/>
            </w:tcBorders>
          </w:tcPr>
          <w:p w14:paraId="0CFE045E" w14:textId="77777777" w:rsidR="00292BAC" w:rsidRPr="00842194" w:rsidRDefault="00292BAC" w:rsidP="00501DAF">
            <w:pPr>
              <w:rPr>
                <w:sz w:val="18"/>
                <w:szCs w:val="18"/>
              </w:rPr>
            </w:pPr>
            <w:r w:rsidRPr="00842194">
              <w:rPr>
                <w:sz w:val="18"/>
                <w:szCs w:val="18"/>
              </w:rPr>
              <w:t>A539</w:t>
            </w:r>
          </w:p>
        </w:tc>
        <w:tc>
          <w:tcPr>
            <w:tcW w:w="1199" w:type="dxa"/>
            <w:tcBorders>
              <w:left w:val="double" w:sz="4" w:space="0" w:color="auto"/>
            </w:tcBorders>
          </w:tcPr>
          <w:p w14:paraId="07FA3F0D" w14:textId="77777777" w:rsidR="00292BAC" w:rsidRPr="00842194" w:rsidRDefault="00292BAC" w:rsidP="00501DAF">
            <w:pPr>
              <w:rPr>
                <w:sz w:val="18"/>
                <w:szCs w:val="18"/>
              </w:rPr>
            </w:pPr>
            <w:r w:rsidRPr="00842194">
              <w:rPr>
                <w:sz w:val="18"/>
                <w:szCs w:val="18"/>
              </w:rPr>
              <w:t>524</w:t>
            </w:r>
          </w:p>
        </w:tc>
        <w:tc>
          <w:tcPr>
            <w:tcW w:w="1322" w:type="dxa"/>
          </w:tcPr>
          <w:p w14:paraId="26519257" w14:textId="5568D38A" w:rsidR="00292BAC" w:rsidRPr="00842194" w:rsidRDefault="00292BAC" w:rsidP="00501DAF">
            <w:pPr>
              <w:rPr>
                <w:sz w:val="18"/>
                <w:szCs w:val="18"/>
              </w:rPr>
            </w:pPr>
            <w:r>
              <w:rPr>
                <w:sz w:val="18"/>
                <w:szCs w:val="18"/>
              </w:rPr>
              <w:t>8</w:t>
            </w:r>
            <w:r w:rsidRPr="00842194">
              <w:rPr>
                <w:sz w:val="18"/>
                <w:szCs w:val="18"/>
              </w:rPr>
              <w:t>50</w:t>
            </w:r>
            <w:r w:rsidR="003267DC">
              <w:rPr>
                <w:sz w:val="18"/>
                <w:szCs w:val="18"/>
              </w:rPr>
              <w:t>0</w:t>
            </w:r>
          </w:p>
        </w:tc>
      </w:tr>
      <w:tr w:rsidR="00292BAC" w:rsidRPr="00842194" w14:paraId="6BFF4FCE" w14:textId="77777777" w:rsidTr="00501DAF">
        <w:trPr>
          <w:trHeight w:hRule="exact" w:val="284"/>
        </w:trPr>
        <w:tc>
          <w:tcPr>
            <w:tcW w:w="1211" w:type="dxa"/>
            <w:tcBorders>
              <w:right w:val="double" w:sz="4" w:space="0" w:color="auto"/>
            </w:tcBorders>
          </w:tcPr>
          <w:p w14:paraId="07BF6395" w14:textId="77777777" w:rsidR="00292BAC" w:rsidRPr="00842194" w:rsidRDefault="00292BAC" w:rsidP="00501DAF">
            <w:pPr>
              <w:rPr>
                <w:sz w:val="18"/>
                <w:szCs w:val="18"/>
              </w:rPr>
            </w:pPr>
            <w:r w:rsidRPr="00842194">
              <w:rPr>
                <w:sz w:val="18"/>
                <w:szCs w:val="18"/>
              </w:rPr>
              <w:t>A2634/66</w:t>
            </w:r>
          </w:p>
        </w:tc>
        <w:tc>
          <w:tcPr>
            <w:tcW w:w="1199" w:type="dxa"/>
            <w:tcBorders>
              <w:left w:val="double" w:sz="4" w:space="0" w:color="auto"/>
            </w:tcBorders>
          </w:tcPr>
          <w:p w14:paraId="545BFA55" w14:textId="77777777" w:rsidR="00292BAC" w:rsidRPr="00842194" w:rsidRDefault="00292BAC" w:rsidP="00501DAF">
            <w:pPr>
              <w:rPr>
                <w:sz w:val="18"/>
                <w:szCs w:val="18"/>
              </w:rPr>
            </w:pPr>
            <w:r w:rsidRPr="00842194">
              <w:rPr>
                <w:sz w:val="18"/>
                <w:szCs w:val="18"/>
              </w:rPr>
              <w:t>450</w:t>
            </w:r>
          </w:p>
        </w:tc>
        <w:tc>
          <w:tcPr>
            <w:tcW w:w="1322" w:type="dxa"/>
          </w:tcPr>
          <w:p w14:paraId="679F795A" w14:textId="52DD5CD7" w:rsidR="00292BAC" w:rsidRPr="00842194" w:rsidRDefault="00292BAC" w:rsidP="00501DAF">
            <w:pPr>
              <w:rPr>
                <w:sz w:val="18"/>
                <w:szCs w:val="18"/>
              </w:rPr>
            </w:pPr>
            <w:r>
              <w:rPr>
                <w:sz w:val="18"/>
                <w:szCs w:val="18"/>
              </w:rPr>
              <w:t>8</w:t>
            </w:r>
            <w:r w:rsidRPr="00842194">
              <w:rPr>
                <w:sz w:val="18"/>
                <w:szCs w:val="18"/>
              </w:rPr>
              <w:t>61</w:t>
            </w:r>
            <w:r w:rsidR="003267DC">
              <w:rPr>
                <w:sz w:val="18"/>
                <w:szCs w:val="18"/>
              </w:rPr>
              <w:t>0</w:t>
            </w:r>
          </w:p>
        </w:tc>
      </w:tr>
      <w:tr w:rsidR="00292BAC" w:rsidRPr="00842194" w14:paraId="78DB7677" w14:textId="77777777" w:rsidTr="00501DAF">
        <w:trPr>
          <w:trHeight w:hRule="exact" w:val="284"/>
        </w:trPr>
        <w:tc>
          <w:tcPr>
            <w:tcW w:w="1211" w:type="dxa"/>
            <w:tcBorders>
              <w:right w:val="double" w:sz="4" w:space="0" w:color="auto"/>
            </w:tcBorders>
          </w:tcPr>
          <w:p w14:paraId="3CA57112" w14:textId="77777777" w:rsidR="00292BAC" w:rsidRPr="00842194" w:rsidRDefault="00292BAC" w:rsidP="00501DAF">
            <w:pPr>
              <w:rPr>
                <w:sz w:val="18"/>
                <w:szCs w:val="18"/>
              </w:rPr>
            </w:pPr>
            <w:r w:rsidRPr="00842194">
              <w:rPr>
                <w:sz w:val="18"/>
                <w:szCs w:val="18"/>
              </w:rPr>
              <w:t>A1185</w:t>
            </w:r>
          </w:p>
        </w:tc>
        <w:tc>
          <w:tcPr>
            <w:tcW w:w="1199" w:type="dxa"/>
            <w:tcBorders>
              <w:left w:val="double" w:sz="4" w:space="0" w:color="auto"/>
            </w:tcBorders>
          </w:tcPr>
          <w:p w14:paraId="31EF9449" w14:textId="77777777" w:rsidR="00292BAC" w:rsidRPr="00842194" w:rsidRDefault="00292BAC" w:rsidP="00501DAF">
            <w:pPr>
              <w:rPr>
                <w:sz w:val="18"/>
                <w:szCs w:val="18"/>
              </w:rPr>
            </w:pPr>
            <w:r w:rsidRPr="00842194">
              <w:rPr>
                <w:sz w:val="18"/>
                <w:szCs w:val="18"/>
              </w:rPr>
              <w:t>724</w:t>
            </w:r>
          </w:p>
        </w:tc>
        <w:tc>
          <w:tcPr>
            <w:tcW w:w="1322" w:type="dxa"/>
          </w:tcPr>
          <w:p w14:paraId="4F1878B4" w14:textId="059A59D8" w:rsidR="00292BAC" w:rsidRPr="00842194" w:rsidRDefault="00292BAC" w:rsidP="00501DAF">
            <w:pPr>
              <w:rPr>
                <w:sz w:val="18"/>
                <w:szCs w:val="18"/>
              </w:rPr>
            </w:pPr>
            <w:r>
              <w:rPr>
                <w:sz w:val="18"/>
                <w:szCs w:val="18"/>
              </w:rPr>
              <w:t>10</w:t>
            </w:r>
            <w:r w:rsidRPr="00842194">
              <w:rPr>
                <w:sz w:val="18"/>
                <w:szCs w:val="18"/>
              </w:rPr>
              <w:t>5</w:t>
            </w:r>
            <w:r w:rsidR="003267DC">
              <w:rPr>
                <w:sz w:val="18"/>
                <w:szCs w:val="18"/>
              </w:rPr>
              <w:t>00</w:t>
            </w:r>
          </w:p>
        </w:tc>
      </w:tr>
      <w:tr w:rsidR="00292BAC" w:rsidRPr="00842194" w14:paraId="02B9C838" w14:textId="77777777" w:rsidTr="00501DAF">
        <w:trPr>
          <w:trHeight w:hRule="exact" w:val="284"/>
        </w:trPr>
        <w:tc>
          <w:tcPr>
            <w:tcW w:w="1211" w:type="dxa"/>
            <w:tcBorders>
              <w:right w:val="double" w:sz="4" w:space="0" w:color="auto"/>
            </w:tcBorders>
          </w:tcPr>
          <w:p w14:paraId="165CB4B6" w14:textId="77777777" w:rsidR="00292BAC" w:rsidRPr="00842194" w:rsidRDefault="00292BAC" w:rsidP="00501DAF">
            <w:pPr>
              <w:rPr>
                <w:sz w:val="18"/>
                <w:szCs w:val="18"/>
              </w:rPr>
            </w:pPr>
            <w:r w:rsidRPr="00842194">
              <w:rPr>
                <w:sz w:val="18"/>
                <w:szCs w:val="18"/>
              </w:rPr>
              <w:t>A2147</w:t>
            </w:r>
          </w:p>
        </w:tc>
        <w:tc>
          <w:tcPr>
            <w:tcW w:w="1199" w:type="dxa"/>
            <w:tcBorders>
              <w:left w:val="double" w:sz="4" w:space="0" w:color="auto"/>
            </w:tcBorders>
          </w:tcPr>
          <w:p w14:paraId="7D8D58CB" w14:textId="77777777" w:rsidR="00292BAC" w:rsidRPr="00842194" w:rsidRDefault="00292BAC" w:rsidP="00501DAF">
            <w:pPr>
              <w:rPr>
                <w:sz w:val="18"/>
                <w:szCs w:val="18"/>
              </w:rPr>
            </w:pPr>
            <w:r w:rsidRPr="00842194">
              <w:rPr>
                <w:sz w:val="18"/>
                <w:szCs w:val="18"/>
              </w:rPr>
              <w:t>697</w:t>
            </w:r>
          </w:p>
        </w:tc>
        <w:tc>
          <w:tcPr>
            <w:tcW w:w="1322" w:type="dxa"/>
          </w:tcPr>
          <w:p w14:paraId="32946A2B" w14:textId="78208470" w:rsidR="00292BAC" w:rsidRPr="00842194" w:rsidRDefault="00292BAC" w:rsidP="00501DAF">
            <w:pPr>
              <w:rPr>
                <w:sz w:val="18"/>
                <w:szCs w:val="18"/>
              </w:rPr>
            </w:pPr>
            <w:r>
              <w:rPr>
                <w:sz w:val="18"/>
                <w:szCs w:val="18"/>
              </w:rPr>
              <w:t>10</w:t>
            </w:r>
            <w:r w:rsidRPr="00842194">
              <w:rPr>
                <w:sz w:val="18"/>
                <w:szCs w:val="18"/>
              </w:rPr>
              <w:t>5</w:t>
            </w:r>
            <w:r w:rsidR="003267DC">
              <w:rPr>
                <w:sz w:val="18"/>
                <w:szCs w:val="18"/>
              </w:rPr>
              <w:t>00</w:t>
            </w:r>
          </w:p>
        </w:tc>
      </w:tr>
      <w:tr w:rsidR="00292BAC" w:rsidRPr="00842194" w14:paraId="48E71A80" w14:textId="77777777" w:rsidTr="00501DAF">
        <w:trPr>
          <w:trHeight w:hRule="exact" w:val="284"/>
        </w:trPr>
        <w:tc>
          <w:tcPr>
            <w:tcW w:w="1211" w:type="dxa"/>
            <w:tcBorders>
              <w:right w:val="double" w:sz="4" w:space="0" w:color="auto"/>
            </w:tcBorders>
          </w:tcPr>
          <w:p w14:paraId="2C42C298" w14:textId="77777777" w:rsidR="00292BAC" w:rsidRPr="00842194" w:rsidRDefault="00292BAC" w:rsidP="00501DAF">
            <w:pPr>
              <w:rPr>
                <w:sz w:val="18"/>
                <w:szCs w:val="18"/>
              </w:rPr>
            </w:pPr>
            <w:r w:rsidRPr="00842194">
              <w:rPr>
                <w:sz w:val="18"/>
                <w:szCs w:val="18"/>
              </w:rPr>
              <w:t>Hercules</w:t>
            </w:r>
          </w:p>
        </w:tc>
        <w:tc>
          <w:tcPr>
            <w:tcW w:w="1199" w:type="dxa"/>
            <w:tcBorders>
              <w:left w:val="double" w:sz="4" w:space="0" w:color="auto"/>
            </w:tcBorders>
          </w:tcPr>
          <w:p w14:paraId="1830082E" w14:textId="77777777" w:rsidR="00292BAC" w:rsidRPr="00842194" w:rsidRDefault="00292BAC" w:rsidP="00501DAF">
            <w:pPr>
              <w:rPr>
                <w:sz w:val="18"/>
                <w:szCs w:val="18"/>
              </w:rPr>
            </w:pPr>
            <w:r w:rsidRPr="00842194">
              <w:rPr>
                <w:sz w:val="18"/>
                <w:szCs w:val="18"/>
              </w:rPr>
              <w:t>648</w:t>
            </w:r>
          </w:p>
        </w:tc>
        <w:tc>
          <w:tcPr>
            <w:tcW w:w="1322" w:type="dxa"/>
          </w:tcPr>
          <w:p w14:paraId="05B697B8" w14:textId="19808C51" w:rsidR="00292BAC" w:rsidRPr="00842194" w:rsidRDefault="00292BAC" w:rsidP="00501DAF">
            <w:pPr>
              <w:keepNext/>
              <w:rPr>
                <w:sz w:val="18"/>
                <w:szCs w:val="18"/>
              </w:rPr>
            </w:pPr>
            <w:r>
              <w:rPr>
                <w:sz w:val="18"/>
                <w:szCs w:val="18"/>
              </w:rPr>
              <w:t>11</w:t>
            </w:r>
            <w:r w:rsidRPr="00842194">
              <w:rPr>
                <w:sz w:val="18"/>
                <w:szCs w:val="18"/>
              </w:rPr>
              <w:t>2</w:t>
            </w:r>
            <w:r w:rsidR="003267DC">
              <w:rPr>
                <w:sz w:val="18"/>
                <w:szCs w:val="18"/>
              </w:rPr>
              <w:t>00</w:t>
            </w:r>
          </w:p>
        </w:tc>
      </w:tr>
    </w:tbl>
    <w:p w14:paraId="64F0843A" w14:textId="77777777" w:rsidR="00292BAC" w:rsidRPr="00842194" w:rsidRDefault="00292BAC" w:rsidP="00292BAC">
      <w:pPr>
        <w:rPr>
          <w:b/>
        </w:rPr>
      </w:pPr>
      <w:r w:rsidRPr="00842194">
        <w:rPr>
          <w:b/>
        </w:rPr>
        <w:t>Opgave 1</w:t>
      </w:r>
    </w:p>
    <w:p w14:paraId="7A0D9C34" w14:textId="77777777" w:rsidR="00292BAC" w:rsidRPr="00FB61D9" w:rsidRDefault="00292BAC" w:rsidP="00292BAC">
      <w:pPr>
        <w:rPr>
          <w:sz w:val="20"/>
          <w:szCs w:val="20"/>
        </w:rPr>
      </w:pPr>
      <w:r w:rsidRPr="00FB61D9">
        <w:rPr>
          <w:sz w:val="20"/>
          <w:szCs w:val="20"/>
        </w:rPr>
        <w:t>I tabellen til højre ses data for nogle galakser, hvor man med nogenlunde sikkerhed kender afstanden samt hastigheden bort fra os</w:t>
      </w:r>
    </w:p>
    <w:p w14:paraId="772E6FBF" w14:textId="77777777" w:rsidR="00292BAC" w:rsidRPr="00FB61D9" w:rsidRDefault="00292BAC" w:rsidP="00292BAC">
      <w:pPr>
        <w:numPr>
          <w:ilvl w:val="0"/>
          <w:numId w:val="1"/>
        </w:numPr>
        <w:rPr>
          <w:sz w:val="20"/>
          <w:szCs w:val="20"/>
        </w:rPr>
      </w:pPr>
      <w:r w:rsidRPr="00FB61D9">
        <w:rPr>
          <w:sz w:val="20"/>
          <w:szCs w:val="20"/>
        </w:rPr>
        <w:t>Afsæt datapunkterne i et koordinatsystem</w:t>
      </w:r>
      <w:r>
        <w:rPr>
          <w:sz w:val="20"/>
          <w:szCs w:val="20"/>
        </w:rPr>
        <w:t>. Hvilket sammenhæng er der mellem</w:t>
      </w:r>
      <w:r w:rsidRPr="00FB61D9">
        <w:rPr>
          <w:sz w:val="20"/>
          <w:szCs w:val="20"/>
        </w:rPr>
        <w:t xml:space="preserve"> hastigheden v og afstanden r</w:t>
      </w:r>
      <w:r>
        <w:rPr>
          <w:sz w:val="20"/>
          <w:szCs w:val="20"/>
        </w:rPr>
        <w:t>?</w:t>
      </w:r>
    </w:p>
    <w:p w14:paraId="6AFAE4F5" w14:textId="665593E3" w:rsidR="00292BAC" w:rsidRDefault="00292BAC" w:rsidP="00292BAC">
      <w:pPr>
        <w:numPr>
          <w:ilvl w:val="0"/>
          <w:numId w:val="1"/>
        </w:numPr>
      </w:pPr>
      <w:r>
        <w:rPr>
          <w:sz w:val="20"/>
          <w:szCs w:val="20"/>
        </w:rPr>
        <w:t>Hældningskoefficienten</w:t>
      </w:r>
      <w:r w:rsidRPr="00FB61D9">
        <w:rPr>
          <w:sz w:val="20"/>
          <w:szCs w:val="20"/>
        </w:rPr>
        <w:t xml:space="preserve"> kaldes Hubblekonstanten og betegnes med H</w:t>
      </w:r>
      <w:r w:rsidRPr="00FB61D9">
        <w:rPr>
          <w:sz w:val="20"/>
          <w:szCs w:val="20"/>
          <w:vertAlign w:val="subscript"/>
        </w:rPr>
        <w:t>0</w:t>
      </w:r>
      <w:r w:rsidRPr="00FB61D9">
        <w:rPr>
          <w:sz w:val="20"/>
          <w:szCs w:val="20"/>
        </w:rPr>
        <w:t>. Angiv H</w:t>
      </w:r>
      <w:r w:rsidRPr="00FB61D9">
        <w:rPr>
          <w:sz w:val="20"/>
          <w:szCs w:val="20"/>
          <w:vertAlign w:val="subscript"/>
        </w:rPr>
        <w:t>0</w:t>
      </w:r>
      <w:r w:rsidRPr="00FB61D9">
        <w:rPr>
          <w:sz w:val="20"/>
          <w:szCs w:val="20"/>
        </w:rPr>
        <w:t xml:space="preserve"> i enheden</w:t>
      </w:r>
      <w:r>
        <w:t xml:space="preserve"> </w:t>
      </w:r>
      <w:r>
        <w:rPr>
          <w:vertAlign w:val="superscript"/>
        </w:rPr>
        <w:t>(km/s)</w:t>
      </w:r>
      <w:r>
        <w:t>/</w:t>
      </w:r>
      <w:proofErr w:type="spellStart"/>
      <w:r>
        <w:rPr>
          <w:vertAlign w:val="subscript"/>
        </w:rPr>
        <w:t>Mly</w:t>
      </w:r>
      <w:proofErr w:type="spellEnd"/>
      <w:r>
        <w:t>.</w:t>
      </w:r>
    </w:p>
    <w:p w14:paraId="362E7939" w14:textId="465E1ED3" w:rsidR="00292BAC" w:rsidRDefault="00292BAC" w:rsidP="00292BAC">
      <w:pPr>
        <w:pStyle w:val="Caption"/>
      </w:pPr>
    </w:p>
    <w:p w14:paraId="2FED610A" w14:textId="5AF88F2D" w:rsidR="00292BAC" w:rsidRDefault="00292BAC" w:rsidP="00292BAC">
      <w:pPr>
        <w:pStyle w:val="Caption"/>
      </w:pPr>
    </w:p>
    <w:p w14:paraId="40B09499" w14:textId="65F9C15A" w:rsidR="00292BAC" w:rsidRDefault="00292BAC" w:rsidP="00292BAC"/>
    <w:p w14:paraId="514194DC" w14:textId="54C51516" w:rsidR="00292BAC" w:rsidRDefault="00E4798B" w:rsidP="00292BAC">
      <w:r w:rsidRPr="00FB61D9">
        <w:rPr>
          <w:noProof/>
        </w:rPr>
        <mc:AlternateContent>
          <mc:Choice Requires="wps">
            <w:drawing>
              <wp:anchor distT="0" distB="0" distL="114300" distR="114300" simplePos="0" relativeHeight="251659264" behindDoc="0" locked="0" layoutInCell="1" allowOverlap="1" wp14:anchorId="5BF8AF9C" wp14:editId="59050464">
                <wp:simplePos x="0" y="0"/>
                <wp:positionH relativeFrom="column">
                  <wp:posOffset>123749</wp:posOffset>
                </wp:positionH>
                <wp:positionV relativeFrom="paragraph">
                  <wp:posOffset>109525</wp:posOffset>
                </wp:positionV>
                <wp:extent cx="3695700" cy="1472565"/>
                <wp:effectExtent l="0" t="0" r="0" b="0"/>
                <wp:wrapNone/>
                <wp:docPr id="10725901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5700" cy="147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1F2D" w14:textId="77777777" w:rsidR="00292BAC" w:rsidRPr="00842194" w:rsidRDefault="00292BAC" w:rsidP="00292BAC">
                            <w:pPr>
                              <w:rPr>
                                <w:i/>
                                <w:noProof/>
                                <w:sz w:val="16"/>
                                <w:szCs w:val="16"/>
                              </w:rPr>
                            </w:pPr>
                            <w:r w:rsidRPr="00842194">
                              <w:rPr>
                                <w:i/>
                                <w:sz w:val="16"/>
                                <w:szCs w:val="16"/>
                              </w:rPr>
                              <w:t>Kilde</w:t>
                            </w:r>
                            <w:r w:rsidRPr="00842194">
                              <w:rPr>
                                <w:i/>
                                <w:noProof/>
                                <w:sz w:val="16"/>
                                <w:szCs w:val="16"/>
                              </w:rPr>
                              <w:t>: Sandage og Tammann, The Astrophysical Journal, 365, 1-10, 1990</w:t>
                            </w:r>
                          </w:p>
                          <w:p w14:paraId="4A52CD40" w14:textId="77777777" w:rsidR="00292BAC" w:rsidRPr="00842194" w:rsidRDefault="00292BAC" w:rsidP="00292BAC">
                            <w:pPr>
                              <w:rPr>
                                <w:i/>
                                <w:noProof/>
                                <w:sz w:val="16"/>
                                <w:szCs w:val="16"/>
                              </w:rPr>
                            </w:pPr>
                            <w:r w:rsidRPr="00842194">
                              <w:rPr>
                                <w:i/>
                                <w:noProof/>
                                <w:sz w:val="16"/>
                                <w:szCs w:val="16"/>
                              </w:rPr>
                              <w:t>De viste data i tabellen illustrerer blot ét blandt mange forsøg på at bestemme H</w:t>
                            </w:r>
                            <w:r w:rsidRPr="00842194">
                              <w:rPr>
                                <w:i/>
                                <w:noProof/>
                                <w:sz w:val="16"/>
                                <w:szCs w:val="16"/>
                                <w:vertAlign w:val="subscript"/>
                              </w:rPr>
                              <w:t>0</w:t>
                            </w:r>
                            <w:r w:rsidRPr="00842194">
                              <w:rPr>
                                <w:i/>
                                <w:noProof/>
                                <w:sz w:val="16"/>
                                <w:szCs w:val="16"/>
                              </w:rPr>
                              <w:t>.De nævnte navne er egentlig navne på galaksehobe og hvert datasæt er</w:t>
                            </w:r>
                            <w:r>
                              <w:rPr>
                                <w:i/>
                                <w:noProof/>
                                <w:sz w:val="16"/>
                                <w:szCs w:val="16"/>
                              </w:rPr>
                              <w:t xml:space="preserve"> derfor</w:t>
                            </w:r>
                            <w:r w:rsidRPr="00842194">
                              <w:rPr>
                                <w:i/>
                                <w:noProof/>
                                <w:sz w:val="16"/>
                                <w:szCs w:val="16"/>
                              </w:rPr>
                              <w:t xml:space="preserve"> et gennemsnit for flere galakser.</w:t>
                            </w:r>
                            <w:r w:rsidRPr="00842194">
                              <w:rPr>
                                <w:i/>
                                <w:noProof/>
                                <w:sz w:val="16"/>
                                <w:szCs w:val="16"/>
                              </w:rPr>
                              <w:br/>
                              <w:t>De viste hastigheder er bestemt med god nøjagtighed vha. rødforskydningen, men afstandene er derimod behæftet med stor usikkerhed og er et passende gennemsnit af forskellige forskeres resultater. F.eks. er afstanden til Coma-hoben målt af 4 forskellige forskergrupper til hhv. 450, 501, 399 og 411 Mly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F8AF9C" id="_x0000_t202" coordsize="21600,21600" o:spt="202" path="m,l,21600r21600,l21600,xe">
                <v:stroke joinstyle="miter"/>
                <v:path gradientshapeok="t" o:connecttype="rect"/>
              </v:shapetype>
              <v:shape id="Text Box 8" o:spid="_x0000_s1026" type="#_x0000_t202" style="position:absolute;margin-left:9.75pt;margin-top:8.6pt;width:291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" filled="f" stroked="f">
                <v:path arrowok="t"/>
                <v:textbox>
                  <w:txbxContent>
                    <w:p w14:paraId="37621F2D" w14:textId="77777777" w:rsidR="00292BAC" w:rsidRPr="00842194" w:rsidRDefault="00292BAC" w:rsidP="00292BAC">
                      <w:pPr>
                        <w:rPr>
                          <w:i/>
                          <w:noProof/>
                          <w:sz w:val="16"/>
                          <w:szCs w:val="16"/>
                        </w:rPr>
                      </w:pPr>
                      <w:r w:rsidRPr="00842194">
                        <w:rPr>
                          <w:i/>
                          <w:sz w:val="16"/>
                          <w:szCs w:val="16"/>
                        </w:rPr>
                        <w:t>Kilde</w:t>
                      </w:r>
                      <w:r w:rsidRPr="00842194">
                        <w:rPr>
                          <w:i/>
                          <w:noProof/>
                          <w:sz w:val="16"/>
                          <w:szCs w:val="16"/>
                        </w:rPr>
                        <w:t>: Sandage og Tammann, The Astrophysical Journal, 365, 1-10, 1990</w:t>
                      </w:r>
                    </w:p>
                    <w:p w14:paraId="4A52CD40" w14:textId="77777777" w:rsidR="00292BAC" w:rsidRPr="00842194" w:rsidRDefault="00292BAC" w:rsidP="00292BAC">
                      <w:pPr>
                        <w:rPr>
                          <w:i/>
                          <w:noProof/>
                          <w:sz w:val="16"/>
                          <w:szCs w:val="16"/>
                        </w:rPr>
                      </w:pPr>
                      <w:r w:rsidRPr="00842194">
                        <w:rPr>
                          <w:i/>
                          <w:noProof/>
                          <w:sz w:val="16"/>
                          <w:szCs w:val="16"/>
                        </w:rPr>
                        <w:t>De viste data i tabellen illustrerer blot ét blandt mange forsøg på at bestemme H</w:t>
                      </w:r>
                      <w:r w:rsidRPr="00842194">
                        <w:rPr>
                          <w:i/>
                          <w:noProof/>
                          <w:sz w:val="16"/>
                          <w:szCs w:val="16"/>
                          <w:vertAlign w:val="subscript"/>
                        </w:rPr>
                        <w:t>0</w:t>
                      </w:r>
                      <w:r w:rsidRPr="00842194">
                        <w:rPr>
                          <w:i/>
                          <w:noProof/>
                          <w:sz w:val="16"/>
                          <w:szCs w:val="16"/>
                        </w:rPr>
                        <w:t>.De nævnte navne er egentlig navne på galaksehobe og hvert datasæt er</w:t>
                      </w:r>
                      <w:r>
                        <w:rPr>
                          <w:i/>
                          <w:noProof/>
                          <w:sz w:val="16"/>
                          <w:szCs w:val="16"/>
                        </w:rPr>
                        <w:t xml:space="preserve"> derfor</w:t>
                      </w:r>
                      <w:r w:rsidRPr="00842194">
                        <w:rPr>
                          <w:i/>
                          <w:noProof/>
                          <w:sz w:val="16"/>
                          <w:szCs w:val="16"/>
                        </w:rPr>
                        <w:t xml:space="preserve"> et gennemsnit for flere galakser.</w:t>
                      </w:r>
                      <w:r w:rsidRPr="00842194">
                        <w:rPr>
                          <w:i/>
                          <w:noProof/>
                          <w:sz w:val="16"/>
                          <w:szCs w:val="16"/>
                        </w:rPr>
                        <w:br/>
                        <w:t>De viste hastigheder er bestemt med god nøjagtighed vha. rødforskydningen, men afstandene er derimod behæftet med stor usikkerhed og er et passende gennemsnit af forskellige forskeres resultater. F.eks. er afstanden til Coma-hoben målt af 4 forskellige forskergrupper til hhv. 450, 501, 399 og 411 Mly</w:t>
                      </w:r>
                    </w:p>
                  </w:txbxContent>
                </v:textbox>
              </v:shape>
            </w:pict>
          </mc:Fallback>
        </mc:AlternateContent>
      </w:r>
    </w:p>
    <w:p w14:paraId="301F93FF" w14:textId="77777777" w:rsidR="00896C03" w:rsidRDefault="00896C03"/>
    <w:sectPr w:rsidR="00896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A7E0F"/>
    <w:multiLevelType w:val="hybridMultilevel"/>
    <w:tmpl w:val="381878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68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AC"/>
    <w:rsid w:val="000936C3"/>
    <w:rsid w:val="00292BAC"/>
    <w:rsid w:val="003267DC"/>
    <w:rsid w:val="00450A8B"/>
    <w:rsid w:val="004F19BC"/>
    <w:rsid w:val="00755F9E"/>
    <w:rsid w:val="00896C03"/>
    <w:rsid w:val="009447F5"/>
    <w:rsid w:val="00E4798B"/>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3CDF"/>
  <w15:chartTrackingRefBased/>
  <w15:docId w15:val="{DEF01020-9237-3346-91C7-B7BCA776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AC"/>
    <w:pPr>
      <w:spacing w:after="200" w:line="276" w:lineRule="auto"/>
    </w:pPr>
    <w:rPr>
      <w:rFonts w:ascii="Calibri" w:eastAsia="Calibri" w:hAnsi="Calibri" w:cs="Times New Roman"/>
      <w:kern w:val="0"/>
      <w:sz w:val="22"/>
      <w:szCs w:val="22"/>
      <w:lang w:val="da-DK"/>
      <w14:ligatures w14:val="none"/>
    </w:rPr>
  </w:style>
  <w:style w:type="paragraph" w:styleId="Heading1">
    <w:name w:val="heading 1"/>
    <w:basedOn w:val="Normal"/>
    <w:next w:val="Normal"/>
    <w:link w:val="Heading1Char"/>
    <w:uiPriority w:val="9"/>
    <w:qFormat/>
    <w:rsid w:val="00292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B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B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2B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2B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2B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2B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2B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BAC"/>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292BAC"/>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292BAC"/>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292BAC"/>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292BAC"/>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292BAC"/>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292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B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BAC"/>
    <w:pPr>
      <w:spacing w:before="160"/>
      <w:jc w:val="center"/>
    </w:pPr>
    <w:rPr>
      <w:i/>
      <w:iCs/>
      <w:color w:val="404040" w:themeColor="text1" w:themeTint="BF"/>
    </w:rPr>
  </w:style>
  <w:style w:type="character" w:customStyle="1" w:styleId="QuoteChar">
    <w:name w:val="Quote Char"/>
    <w:basedOn w:val="DefaultParagraphFont"/>
    <w:link w:val="Quote"/>
    <w:uiPriority w:val="29"/>
    <w:rsid w:val="00292BAC"/>
    <w:rPr>
      <w:rFonts w:ascii="Calibri" w:hAnsi="Calibri"/>
      <w:i/>
      <w:iCs/>
      <w:color w:val="404040" w:themeColor="text1" w:themeTint="BF"/>
      <w:sz w:val="22"/>
    </w:rPr>
  </w:style>
  <w:style w:type="paragraph" w:styleId="ListParagraph">
    <w:name w:val="List Paragraph"/>
    <w:basedOn w:val="Normal"/>
    <w:uiPriority w:val="34"/>
    <w:qFormat/>
    <w:rsid w:val="00292BAC"/>
    <w:pPr>
      <w:ind w:left="720"/>
      <w:contextualSpacing/>
    </w:pPr>
  </w:style>
  <w:style w:type="character" w:styleId="IntenseEmphasis">
    <w:name w:val="Intense Emphasis"/>
    <w:basedOn w:val="DefaultParagraphFont"/>
    <w:uiPriority w:val="21"/>
    <w:qFormat/>
    <w:rsid w:val="00292BAC"/>
    <w:rPr>
      <w:i/>
      <w:iCs/>
      <w:color w:val="0F4761" w:themeColor="accent1" w:themeShade="BF"/>
    </w:rPr>
  </w:style>
  <w:style w:type="paragraph" w:styleId="IntenseQuote">
    <w:name w:val="Intense Quote"/>
    <w:basedOn w:val="Normal"/>
    <w:next w:val="Normal"/>
    <w:link w:val="IntenseQuoteChar"/>
    <w:uiPriority w:val="30"/>
    <w:qFormat/>
    <w:rsid w:val="00292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BAC"/>
    <w:rPr>
      <w:rFonts w:ascii="Calibri" w:hAnsi="Calibri"/>
      <w:i/>
      <w:iCs/>
      <w:color w:val="0F4761" w:themeColor="accent1" w:themeShade="BF"/>
      <w:sz w:val="22"/>
    </w:rPr>
  </w:style>
  <w:style w:type="character" w:styleId="IntenseReference">
    <w:name w:val="Intense Reference"/>
    <w:basedOn w:val="DefaultParagraphFont"/>
    <w:uiPriority w:val="32"/>
    <w:qFormat/>
    <w:rsid w:val="00292BAC"/>
    <w:rPr>
      <w:b/>
      <w:bCs/>
      <w:smallCaps/>
      <w:color w:val="0F4761" w:themeColor="accent1" w:themeShade="BF"/>
      <w:spacing w:val="5"/>
    </w:rPr>
  </w:style>
  <w:style w:type="paragraph" w:styleId="Caption">
    <w:name w:val="caption"/>
    <w:basedOn w:val="Normal"/>
    <w:next w:val="Normal"/>
    <w:uiPriority w:val="35"/>
    <w:unhideWhenUsed/>
    <w:qFormat/>
    <w:rsid w:val="00292B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Bjarke Møller Pedersen</dc:creator>
  <cp:keywords/>
  <dc:description/>
  <cp:lastModifiedBy>Bjarke Møller Pedersen</cp:lastModifiedBy>
  <cp:revision>6</cp:revision>
  <dcterms:created xsi:type="dcterms:W3CDTF">2025-05-09T11:25:00Z</dcterms:created>
  <dcterms:modified xsi:type="dcterms:W3CDTF">2025-05-09T11:34:00Z</dcterms:modified>
</cp:coreProperties>
</file>