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64C8B" w14:textId="77777777" w:rsidR="009442AF" w:rsidRDefault="009442AF" w:rsidP="009442AF">
      <w:pPr>
        <w:pStyle w:val="Overskrift1"/>
        <w:shd w:val="clear" w:color="auto" w:fill="FFFFFF"/>
        <w:spacing w:before="0" w:beforeAutospacing="0" w:after="0" w:afterAutospacing="0"/>
        <w:ind w:right="195"/>
        <w:rPr>
          <w:rFonts w:ascii="Arial" w:hAnsi="Arial" w:cs="Arial"/>
          <w:b w:val="0"/>
          <w:bCs w:val="0"/>
          <w:color w:val="333333"/>
          <w:sz w:val="35"/>
          <w:szCs w:val="35"/>
        </w:rPr>
      </w:pPr>
      <w:r>
        <w:rPr>
          <w:rFonts w:ascii="Arial" w:hAnsi="Arial" w:cs="Arial"/>
          <w:b w:val="0"/>
          <w:bCs w:val="0"/>
          <w:color w:val="333333"/>
          <w:sz w:val="35"/>
          <w:szCs w:val="35"/>
        </w:rPr>
        <w:t>Nationalismen i Tyskland</w:t>
      </w:r>
    </w:p>
    <w:p w14:paraId="67B2F3DE" w14:textId="5C4D8665" w:rsidR="00D32036" w:rsidRDefault="00D32036"/>
    <w:p w14:paraId="282FE836" w14:textId="77777777" w:rsidR="009442AF" w:rsidRPr="009442AF" w:rsidRDefault="009442AF" w:rsidP="009442AF">
      <w:pPr>
        <w:shd w:val="clear" w:color="auto" w:fill="FFFFFF"/>
        <w:spacing w:after="240" w:line="240" w:lineRule="auto"/>
        <w:rPr>
          <w:rFonts w:ascii="Arial" w:eastAsia="Times New Roman" w:hAnsi="Arial" w:cs="Arial"/>
          <w:color w:val="333333"/>
          <w:sz w:val="19"/>
          <w:szCs w:val="19"/>
          <w:lang w:eastAsia="da-DK"/>
        </w:rPr>
      </w:pPr>
      <w:r w:rsidRPr="009442AF">
        <w:rPr>
          <w:rFonts w:ascii="Arial" w:eastAsia="Times New Roman" w:hAnsi="Arial" w:cs="Arial"/>
          <w:color w:val="333333"/>
          <w:sz w:val="19"/>
          <w:szCs w:val="19"/>
          <w:lang w:eastAsia="da-DK"/>
        </w:rPr>
        <w:t>Europa havde siden Wienerkongressen været domineret af konservative kræfter, og i spidsen for dem stod den østrigske kejser, den russiske zar og den preussiske konge. Disse konservative kræfter blev stærkt udfordret af liberale og ikke mindst nationale bevægelser.</w:t>
      </w:r>
    </w:p>
    <w:p w14:paraId="50EC28E5" w14:textId="77777777" w:rsidR="009442AF" w:rsidRPr="009442AF" w:rsidRDefault="009442AF" w:rsidP="009442AF">
      <w:pPr>
        <w:shd w:val="clear" w:color="auto" w:fill="FFFFFF"/>
        <w:spacing w:after="240" w:line="240" w:lineRule="auto"/>
        <w:rPr>
          <w:rFonts w:ascii="Arial" w:eastAsia="Times New Roman" w:hAnsi="Arial" w:cs="Arial"/>
          <w:color w:val="333333"/>
          <w:sz w:val="19"/>
          <w:szCs w:val="19"/>
          <w:lang w:eastAsia="da-DK"/>
        </w:rPr>
      </w:pPr>
      <w:r w:rsidRPr="009442AF">
        <w:rPr>
          <w:rFonts w:ascii="Arial" w:eastAsia="Times New Roman" w:hAnsi="Arial" w:cs="Arial"/>
          <w:color w:val="333333"/>
          <w:sz w:val="19"/>
          <w:szCs w:val="19"/>
          <w:lang w:eastAsia="da-DK"/>
        </w:rPr>
        <w:t>For Europa blev den nationale vækkelse i Tyskland af afgørende betydning. I århundreder havde begrebet "tysk" betegnet en gruppe af nærtbeslægtede sprog, og "Tyskland" havde været et geografisk begreb. Men Tyskland havde ikke været en samlet stat som Frankrig, og den tyske "nation" havde aldrig som den franske været opfattet som et politisk fællesskab. Tyskland var siden middelalderen delt i en lang række uafhængige fyrstendømmer, og den "tyske nation" var desuden delt i en nordlig, protestantisk og en sydlig, katolsk del.</w:t>
      </w:r>
    </w:p>
    <w:p w14:paraId="0EE9CBC3" w14:textId="77777777" w:rsidR="009442AF" w:rsidRPr="009442AF" w:rsidRDefault="009442AF" w:rsidP="009442AF">
      <w:pPr>
        <w:shd w:val="clear" w:color="auto" w:fill="FFFFFF"/>
        <w:spacing w:after="240" w:line="240" w:lineRule="auto"/>
        <w:rPr>
          <w:rFonts w:ascii="Arial" w:eastAsia="Times New Roman" w:hAnsi="Arial" w:cs="Arial"/>
          <w:color w:val="333333"/>
          <w:sz w:val="19"/>
          <w:szCs w:val="19"/>
          <w:lang w:eastAsia="da-DK"/>
        </w:rPr>
      </w:pPr>
      <w:r w:rsidRPr="009442AF">
        <w:rPr>
          <w:rFonts w:ascii="Arial" w:eastAsia="Times New Roman" w:hAnsi="Arial" w:cs="Arial"/>
          <w:color w:val="333333"/>
          <w:sz w:val="19"/>
          <w:szCs w:val="19"/>
          <w:lang w:eastAsia="da-DK"/>
        </w:rPr>
        <w:t>Omkring 1800 begyndte imidlertid en dyrkelse af tyskheden, som fik tag i brede lag i befolkningen, først og fremmest i borgerskabet. Det var en bevægelse, som blev anført af den uddannede elite, især af forfattere og historikere. Man studerede den tyske historie, tyske folkesagn og folkesange, og litteraturen blev patriotisk og følelsesmættet i den stil, man kalder nationalromantik. Man søgte efter en tysk "folkesjæl" i landskabet, arkitekturen og historien.</w:t>
      </w:r>
    </w:p>
    <w:p w14:paraId="3A3AA0E7" w14:textId="2EF32B17" w:rsidR="009442AF" w:rsidRDefault="009442AF" w:rsidP="009442AF">
      <w:pPr>
        <w:shd w:val="clear" w:color="auto" w:fill="FFFFFF"/>
        <w:spacing w:after="240" w:line="240" w:lineRule="auto"/>
        <w:rPr>
          <w:rFonts w:ascii="Arial" w:eastAsia="Times New Roman" w:hAnsi="Arial" w:cs="Arial"/>
          <w:color w:val="333333"/>
          <w:sz w:val="19"/>
          <w:szCs w:val="19"/>
          <w:lang w:eastAsia="da-DK"/>
        </w:rPr>
      </w:pPr>
      <w:r w:rsidRPr="009442AF">
        <w:rPr>
          <w:rFonts w:ascii="Arial" w:eastAsia="Times New Roman" w:hAnsi="Arial" w:cs="Arial"/>
          <w:color w:val="333333"/>
          <w:sz w:val="19"/>
          <w:szCs w:val="19"/>
          <w:lang w:eastAsia="da-DK"/>
        </w:rPr>
        <w:t>Napoleonskrigene overbeviste de intellektuelle om, at Tysklands splittelse var en ulykke. Fremmede magter – især Frankrig – havde udnyttet denne splittelse, så tyskere havde kæmpet mod tyskere.</w:t>
      </w:r>
    </w:p>
    <w:p w14:paraId="41C8ECD8" w14:textId="77777777" w:rsidR="009442AF" w:rsidRPr="009442AF" w:rsidRDefault="009442AF" w:rsidP="009442AF">
      <w:pPr>
        <w:shd w:val="clear" w:color="auto" w:fill="FFFFFF"/>
        <w:spacing w:after="240" w:line="240" w:lineRule="auto"/>
        <w:rPr>
          <w:rFonts w:ascii="Arial" w:eastAsia="Times New Roman" w:hAnsi="Arial" w:cs="Arial"/>
          <w:color w:val="333333"/>
          <w:sz w:val="19"/>
          <w:szCs w:val="19"/>
          <w:lang w:eastAsia="da-DK"/>
        </w:rPr>
      </w:pPr>
    </w:p>
    <w:p w14:paraId="763B8612" w14:textId="6D0FF2A2" w:rsidR="009442AF" w:rsidRPr="009442AF" w:rsidRDefault="009442AF" w:rsidP="009442AF">
      <w:pPr>
        <w:shd w:val="clear" w:color="auto" w:fill="E3EAF0"/>
        <w:spacing w:after="195" w:line="240" w:lineRule="auto"/>
        <w:outlineLvl w:val="0"/>
        <w:rPr>
          <w:rFonts w:ascii="inherit" w:eastAsia="Times New Roman" w:hAnsi="inherit" w:cs="Arial"/>
          <w:b/>
          <w:bCs/>
          <w:color w:val="333333"/>
          <w:kern w:val="36"/>
          <w:sz w:val="23"/>
          <w:szCs w:val="23"/>
          <w:lang w:eastAsia="da-DK"/>
        </w:rPr>
      </w:pPr>
      <w:r w:rsidRPr="009442AF">
        <w:rPr>
          <w:rFonts w:ascii="inherit" w:eastAsia="Times New Roman" w:hAnsi="inherit" w:cs="Arial"/>
          <w:b/>
          <w:bCs/>
          <w:color w:val="333333"/>
          <w:kern w:val="36"/>
          <w:sz w:val="23"/>
          <w:szCs w:val="23"/>
          <w:lang w:eastAsia="da-DK"/>
        </w:rPr>
        <w:t xml:space="preserve">16. Johann Gottlieb </w:t>
      </w:r>
      <w:proofErr w:type="spellStart"/>
      <w:r w:rsidRPr="009442AF">
        <w:rPr>
          <w:rFonts w:ascii="inherit" w:eastAsia="Times New Roman" w:hAnsi="inherit" w:cs="Arial"/>
          <w:b/>
          <w:bCs/>
          <w:color w:val="333333"/>
          <w:kern w:val="36"/>
          <w:sz w:val="23"/>
          <w:szCs w:val="23"/>
          <w:lang w:eastAsia="da-DK"/>
        </w:rPr>
        <w:t>Fichte</w:t>
      </w:r>
      <w:proofErr w:type="spellEnd"/>
      <w:r w:rsidRPr="009442AF">
        <w:rPr>
          <w:rFonts w:ascii="inherit" w:eastAsia="Times New Roman" w:hAnsi="inherit" w:cs="Arial"/>
          <w:b/>
          <w:bCs/>
          <w:color w:val="333333"/>
          <w:kern w:val="36"/>
          <w:sz w:val="23"/>
          <w:szCs w:val="23"/>
          <w:lang w:eastAsia="da-DK"/>
        </w:rPr>
        <w:t>: 'Til den tyske nation', 1806</w:t>
      </w:r>
    </w:p>
    <w:p w14:paraId="64935DAB" w14:textId="77777777" w:rsidR="009442AF" w:rsidRPr="009442AF" w:rsidRDefault="009442AF" w:rsidP="009442AF">
      <w:pPr>
        <w:spacing w:line="240" w:lineRule="auto"/>
        <w:rPr>
          <w:rFonts w:ascii="Arial" w:eastAsia="Times New Roman" w:hAnsi="Arial" w:cs="Arial"/>
          <w:color w:val="333333"/>
          <w:sz w:val="19"/>
          <w:szCs w:val="19"/>
          <w:lang w:eastAsia="da-DK"/>
        </w:rPr>
      </w:pPr>
      <w:r w:rsidRPr="009442AF">
        <w:rPr>
          <w:rFonts w:ascii="Arial" w:eastAsia="Times New Roman" w:hAnsi="Arial" w:cs="Arial"/>
          <w:color w:val="333333"/>
          <w:sz w:val="19"/>
          <w:szCs w:val="19"/>
          <w:lang w:eastAsia="da-DK"/>
        </w:rPr>
        <w:t xml:space="preserve">Den tyske filosof Johann Gottlieb </w:t>
      </w:r>
      <w:proofErr w:type="spellStart"/>
      <w:r w:rsidRPr="009442AF">
        <w:rPr>
          <w:rFonts w:ascii="Arial" w:eastAsia="Times New Roman" w:hAnsi="Arial" w:cs="Arial"/>
          <w:color w:val="333333"/>
          <w:sz w:val="19"/>
          <w:szCs w:val="19"/>
          <w:lang w:eastAsia="da-DK"/>
        </w:rPr>
        <w:t>Fichte</w:t>
      </w:r>
      <w:proofErr w:type="spellEnd"/>
      <w:r w:rsidRPr="009442AF">
        <w:rPr>
          <w:rFonts w:ascii="Arial" w:eastAsia="Times New Roman" w:hAnsi="Arial" w:cs="Arial"/>
          <w:color w:val="333333"/>
          <w:sz w:val="19"/>
          <w:szCs w:val="19"/>
          <w:lang w:eastAsia="da-DK"/>
        </w:rPr>
        <w:t xml:space="preserve"> var oprindeligt tilhænger af den franske revolution, men vendte sig senere mod Frankrig som følge af Napoleons besættelse af Tyskland. I 1806 skrev han en række 'opråb' til den tyske nation.</w:t>
      </w:r>
    </w:p>
    <w:p w14:paraId="047D5027" w14:textId="77777777" w:rsidR="009442AF" w:rsidRPr="009442AF" w:rsidRDefault="009442AF" w:rsidP="009442AF">
      <w:pPr>
        <w:shd w:val="clear" w:color="auto" w:fill="E3EAF0"/>
        <w:spacing w:after="240" w:line="240" w:lineRule="auto"/>
        <w:rPr>
          <w:rFonts w:ascii="Arial" w:eastAsia="Times New Roman" w:hAnsi="Arial" w:cs="Arial"/>
          <w:color w:val="333333"/>
          <w:sz w:val="19"/>
          <w:szCs w:val="19"/>
          <w:lang w:eastAsia="da-DK"/>
        </w:rPr>
      </w:pPr>
      <w:r w:rsidRPr="009442AF">
        <w:rPr>
          <w:rFonts w:ascii="Arial" w:eastAsia="Times New Roman" w:hAnsi="Arial" w:cs="Arial"/>
          <w:color w:val="333333"/>
          <w:sz w:val="19"/>
          <w:szCs w:val="19"/>
          <w:lang w:eastAsia="da-DK"/>
        </w:rPr>
        <w:t>De, der taler samme sprog, er fra naturens hånd sluttet sammen af en mængde usynlige bånd, længe før nogen menneskelig kunst begynder. (...) De hører sammen og er af naturen et udeleligt hele. (...)</w:t>
      </w:r>
    </w:p>
    <w:p w14:paraId="56789247" w14:textId="77777777" w:rsidR="009442AF" w:rsidRPr="009442AF" w:rsidRDefault="009442AF" w:rsidP="009442AF">
      <w:pPr>
        <w:shd w:val="clear" w:color="auto" w:fill="E3EAF0"/>
        <w:spacing w:after="240" w:line="240" w:lineRule="auto"/>
        <w:rPr>
          <w:rFonts w:ascii="Arial" w:eastAsia="Times New Roman" w:hAnsi="Arial" w:cs="Arial"/>
          <w:color w:val="333333"/>
          <w:sz w:val="19"/>
          <w:szCs w:val="19"/>
          <w:lang w:eastAsia="da-DK"/>
        </w:rPr>
      </w:pPr>
      <w:r w:rsidRPr="009442AF">
        <w:rPr>
          <w:rFonts w:ascii="Arial" w:eastAsia="Times New Roman" w:hAnsi="Arial" w:cs="Arial"/>
          <w:color w:val="333333"/>
          <w:sz w:val="19"/>
          <w:szCs w:val="19"/>
          <w:lang w:eastAsia="da-DK"/>
        </w:rPr>
        <w:t>Således var den tyske nation tilstrækkeligt forenet med et fælles sprog og en fælles tænkemåde og tilstrækkeligt skarpt adskilt fra andre folk, placeret midt i Europa som en mur, der adskiller forskellige racer, og tilstrækkeligt talrigt og tappert til at forsvare sine grænser mod fremmede angreb. (...)</w:t>
      </w:r>
    </w:p>
    <w:p w14:paraId="6A908AC7" w14:textId="77777777" w:rsidR="009442AF" w:rsidRPr="009442AF" w:rsidRDefault="009442AF" w:rsidP="009442AF">
      <w:pPr>
        <w:shd w:val="clear" w:color="auto" w:fill="E3EAF0"/>
        <w:spacing w:after="240" w:line="240" w:lineRule="auto"/>
        <w:rPr>
          <w:rFonts w:ascii="Arial" w:eastAsia="Times New Roman" w:hAnsi="Arial" w:cs="Arial"/>
          <w:color w:val="333333"/>
          <w:sz w:val="19"/>
          <w:szCs w:val="19"/>
          <w:lang w:eastAsia="da-DK"/>
        </w:rPr>
      </w:pPr>
      <w:r w:rsidRPr="009442AF">
        <w:rPr>
          <w:rFonts w:ascii="Arial" w:eastAsia="Times New Roman" w:hAnsi="Arial" w:cs="Arial"/>
          <w:color w:val="333333"/>
          <w:sz w:val="19"/>
          <w:szCs w:val="19"/>
          <w:lang w:eastAsia="da-DK"/>
        </w:rPr>
        <w:t>At det skulle vedblive at være sådan, passede ikke udenlandske magter. (...)</w:t>
      </w:r>
    </w:p>
    <w:p w14:paraId="4628DE17" w14:textId="77777777" w:rsidR="009442AF" w:rsidRPr="009442AF" w:rsidRDefault="009442AF" w:rsidP="009442AF">
      <w:pPr>
        <w:shd w:val="clear" w:color="auto" w:fill="E3EAF0"/>
        <w:spacing w:after="240" w:line="240" w:lineRule="auto"/>
        <w:rPr>
          <w:rFonts w:ascii="Arial" w:eastAsia="Times New Roman" w:hAnsi="Arial" w:cs="Arial"/>
          <w:color w:val="333333"/>
          <w:sz w:val="19"/>
          <w:szCs w:val="19"/>
          <w:lang w:eastAsia="da-DK"/>
        </w:rPr>
      </w:pPr>
      <w:r w:rsidRPr="009442AF">
        <w:rPr>
          <w:rFonts w:ascii="Arial" w:eastAsia="Times New Roman" w:hAnsi="Arial" w:cs="Arial"/>
          <w:color w:val="333333"/>
          <w:sz w:val="19"/>
          <w:szCs w:val="19"/>
          <w:lang w:eastAsia="da-DK"/>
        </w:rPr>
        <w:t>De fandt tysk tapperhed nyttig i udkæmpelsen af deres krige. (…) De søgte midler til at opnå dette, og udenlandsk snedighed vandt en let sejr over tysk troskyldighed og ærlighed. Det var fremmede magter, der først udnyttede den åndelige spaltning, der blev skabt af religiøs uenighed i Tyskland. (...) Jeg hævder, at fremmede magter udnyttede denne uenighed til at opdele Tysklands tætte enhed i kunstigt adskilte, opsplittede dele.</w:t>
      </w:r>
    </w:p>
    <w:p w14:paraId="28DD047B" w14:textId="77777777" w:rsidR="009442AF" w:rsidRPr="009442AF" w:rsidRDefault="009442AF" w:rsidP="009442AF">
      <w:pPr>
        <w:shd w:val="clear" w:color="auto" w:fill="E3EAF0"/>
        <w:spacing w:line="240" w:lineRule="auto"/>
        <w:rPr>
          <w:rFonts w:ascii="Arial" w:eastAsia="Times New Roman" w:hAnsi="Arial" w:cs="Arial"/>
          <w:color w:val="777777"/>
          <w:sz w:val="17"/>
          <w:szCs w:val="17"/>
          <w:lang w:eastAsia="da-DK"/>
        </w:rPr>
      </w:pPr>
      <w:r w:rsidRPr="009442AF">
        <w:rPr>
          <w:rFonts w:ascii="Arial" w:eastAsia="Times New Roman" w:hAnsi="Arial" w:cs="Arial"/>
          <w:color w:val="777777"/>
          <w:sz w:val="16"/>
          <w:szCs w:val="16"/>
          <w:lang w:val="en-US" w:eastAsia="da-DK"/>
        </w:rPr>
        <w:t xml:space="preserve">Johann Gottlieb Fichte: </w:t>
      </w:r>
      <w:proofErr w:type="spellStart"/>
      <w:r w:rsidRPr="009442AF">
        <w:rPr>
          <w:rFonts w:ascii="Arial" w:eastAsia="Times New Roman" w:hAnsi="Arial" w:cs="Arial"/>
          <w:color w:val="777777"/>
          <w:sz w:val="16"/>
          <w:szCs w:val="16"/>
          <w:lang w:val="en-US" w:eastAsia="da-DK"/>
        </w:rPr>
        <w:t>Reden</w:t>
      </w:r>
      <w:proofErr w:type="spellEnd"/>
      <w:r w:rsidRPr="009442AF">
        <w:rPr>
          <w:rFonts w:ascii="Arial" w:eastAsia="Times New Roman" w:hAnsi="Arial" w:cs="Arial"/>
          <w:color w:val="777777"/>
          <w:sz w:val="16"/>
          <w:szCs w:val="16"/>
          <w:lang w:val="en-US" w:eastAsia="da-DK"/>
        </w:rPr>
        <w:t xml:space="preserve"> an die deutsche Nation. </w:t>
      </w:r>
      <w:r w:rsidRPr="009442AF">
        <w:rPr>
          <w:rFonts w:ascii="Arial" w:eastAsia="Times New Roman" w:hAnsi="Arial" w:cs="Arial"/>
          <w:color w:val="777777"/>
          <w:sz w:val="16"/>
          <w:szCs w:val="16"/>
          <w:lang w:eastAsia="da-DK"/>
        </w:rPr>
        <w:t>1806. Her efter Projekt Gutenberg-DE. gutenberg.spiegel.de.</w:t>
      </w:r>
    </w:p>
    <w:p w14:paraId="744D2386" w14:textId="77777777" w:rsidR="009442AF" w:rsidRDefault="009442AF" w:rsidP="009442AF">
      <w:pPr>
        <w:shd w:val="clear" w:color="auto" w:fill="FFFFFF"/>
        <w:spacing w:after="240" w:line="240" w:lineRule="auto"/>
        <w:rPr>
          <w:rFonts w:ascii="Arial" w:eastAsia="Times New Roman" w:hAnsi="Arial" w:cs="Arial"/>
          <w:color w:val="333333"/>
          <w:sz w:val="19"/>
          <w:szCs w:val="19"/>
          <w:lang w:eastAsia="da-DK"/>
        </w:rPr>
      </w:pPr>
    </w:p>
    <w:p w14:paraId="42019A48" w14:textId="17DC2A3D" w:rsidR="009442AF" w:rsidRPr="009442AF" w:rsidRDefault="009442AF" w:rsidP="009442AF">
      <w:pPr>
        <w:shd w:val="clear" w:color="auto" w:fill="FFFFFF"/>
        <w:spacing w:after="240" w:line="240" w:lineRule="auto"/>
        <w:rPr>
          <w:rFonts w:ascii="Arial" w:eastAsia="Times New Roman" w:hAnsi="Arial" w:cs="Arial"/>
          <w:color w:val="333333"/>
          <w:sz w:val="19"/>
          <w:szCs w:val="19"/>
          <w:lang w:eastAsia="da-DK"/>
        </w:rPr>
      </w:pPr>
      <w:r w:rsidRPr="009442AF">
        <w:rPr>
          <w:rFonts w:ascii="Arial" w:eastAsia="Times New Roman" w:hAnsi="Arial" w:cs="Arial"/>
          <w:color w:val="333333"/>
          <w:sz w:val="19"/>
          <w:szCs w:val="19"/>
          <w:lang w:eastAsia="da-DK"/>
        </w:rPr>
        <w:t>Den nationale bevægelse undergravede det eksisterende statssystem, hvor arvelige tyske fyrster herskede over hver deres fyrstendømme, hvoraf enkelte var meget store (Preussen) og de fleste meget små. Bevægelsen var liberal. Den ønskede den politiske suverænitet placeret hos folket – det tyske folk – og ville afskaffe de tyske fyrsters selvstændighed.</w:t>
      </w:r>
    </w:p>
    <w:p w14:paraId="52888D74" w14:textId="4E58C2D1" w:rsidR="009442AF" w:rsidRDefault="009442AF" w:rsidP="009442AF">
      <w:pPr>
        <w:shd w:val="clear" w:color="auto" w:fill="FFFFFF"/>
        <w:spacing w:after="240" w:line="240" w:lineRule="auto"/>
        <w:rPr>
          <w:rFonts w:ascii="Arial" w:eastAsia="Times New Roman" w:hAnsi="Arial" w:cs="Arial"/>
          <w:color w:val="333333"/>
          <w:sz w:val="19"/>
          <w:szCs w:val="19"/>
          <w:lang w:eastAsia="da-DK"/>
        </w:rPr>
      </w:pPr>
      <w:r w:rsidRPr="009442AF">
        <w:rPr>
          <w:rFonts w:ascii="Arial" w:eastAsia="Times New Roman" w:hAnsi="Arial" w:cs="Arial"/>
          <w:color w:val="333333"/>
          <w:sz w:val="19"/>
          <w:szCs w:val="19"/>
          <w:lang w:eastAsia="da-DK"/>
        </w:rPr>
        <w:t xml:space="preserve">Den nationale og liberale bevægelse var ikke indskrænket til Tyskland. Den udfoldede sig også i bl.a. Italien, der ligesom Tyskland var opdelt i en række fyrstendømmer, i det østrigske kejserrige og det russiske </w:t>
      </w:r>
      <w:proofErr w:type="spellStart"/>
      <w:r w:rsidRPr="009442AF">
        <w:rPr>
          <w:rFonts w:ascii="Arial" w:eastAsia="Times New Roman" w:hAnsi="Arial" w:cs="Arial"/>
          <w:color w:val="333333"/>
          <w:sz w:val="19"/>
          <w:szCs w:val="19"/>
          <w:lang w:eastAsia="da-DK"/>
        </w:rPr>
        <w:t>zar-rige</w:t>
      </w:r>
      <w:proofErr w:type="spellEnd"/>
      <w:r w:rsidRPr="009442AF">
        <w:rPr>
          <w:rFonts w:ascii="Arial" w:eastAsia="Times New Roman" w:hAnsi="Arial" w:cs="Arial"/>
          <w:color w:val="333333"/>
          <w:sz w:val="19"/>
          <w:szCs w:val="19"/>
          <w:lang w:eastAsia="da-DK"/>
        </w:rPr>
        <w:t>, der begge rummede mange nationaliteter. I Tyskland og Italien var nationalismen derfor samlende, mens den i Østrig og Rusland derimod var opløsende.</w:t>
      </w:r>
    </w:p>
    <w:p w14:paraId="1587D383" w14:textId="77777777" w:rsidR="009442AF" w:rsidRDefault="009442AF" w:rsidP="009442AF">
      <w:pPr>
        <w:pStyle w:val="Overskrift1"/>
        <w:shd w:val="clear" w:color="auto" w:fill="FFFFFF"/>
        <w:spacing w:before="0" w:beforeAutospacing="0" w:after="0" w:afterAutospacing="0"/>
        <w:ind w:right="195"/>
        <w:rPr>
          <w:rFonts w:ascii="Arial" w:hAnsi="Arial" w:cs="Arial"/>
          <w:b w:val="0"/>
          <w:bCs w:val="0"/>
          <w:color w:val="333333"/>
          <w:sz w:val="35"/>
          <w:szCs w:val="35"/>
        </w:rPr>
      </w:pPr>
    </w:p>
    <w:p w14:paraId="64943819" w14:textId="16CA001D" w:rsidR="009442AF" w:rsidRDefault="009442AF" w:rsidP="009442AF">
      <w:pPr>
        <w:pStyle w:val="Overskrift1"/>
        <w:shd w:val="clear" w:color="auto" w:fill="FFFFFF"/>
        <w:spacing w:before="0" w:beforeAutospacing="0" w:after="0" w:afterAutospacing="0"/>
        <w:ind w:right="195"/>
        <w:rPr>
          <w:rFonts w:ascii="Arial" w:hAnsi="Arial" w:cs="Arial"/>
          <w:b w:val="0"/>
          <w:bCs w:val="0"/>
          <w:color w:val="333333"/>
          <w:sz w:val="35"/>
          <w:szCs w:val="35"/>
        </w:rPr>
      </w:pPr>
      <w:r>
        <w:rPr>
          <w:rFonts w:ascii="Arial" w:hAnsi="Arial" w:cs="Arial"/>
          <w:b w:val="0"/>
          <w:bCs w:val="0"/>
          <w:color w:val="333333"/>
          <w:sz w:val="35"/>
          <w:szCs w:val="35"/>
        </w:rPr>
        <w:lastRenderedPageBreak/>
        <w:t>Nationalliberale revolutioner og Tysklands samling</w:t>
      </w:r>
    </w:p>
    <w:p w14:paraId="60FFA558" w14:textId="77777777" w:rsidR="009442AF" w:rsidRDefault="009442AF" w:rsidP="009442AF">
      <w:pPr>
        <w:pStyle w:val="NormalWeb"/>
        <w:shd w:val="clear" w:color="auto" w:fill="FFFFFF"/>
        <w:spacing w:before="0" w:beforeAutospacing="0" w:after="240" w:afterAutospacing="0"/>
        <w:rPr>
          <w:rFonts w:ascii="Arial" w:hAnsi="Arial" w:cs="Arial"/>
          <w:color w:val="333333"/>
          <w:sz w:val="19"/>
          <w:szCs w:val="19"/>
        </w:rPr>
      </w:pPr>
    </w:p>
    <w:p w14:paraId="0EB02554" w14:textId="65B80E0B" w:rsidR="009442AF" w:rsidRDefault="009442AF" w:rsidP="009442AF">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Inspireret af februar-revolutionen i Frankrig rejste </w:t>
      </w:r>
      <w:r>
        <w:rPr>
          <w:rStyle w:val="index"/>
          <w:rFonts w:ascii="Arial" w:hAnsi="Arial" w:cs="Arial"/>
          <w:color w:val="333333"/>
          <w:sz w:val="19"/>
          <w:szCs w:val="19"/>
        </w:rPr>
        <w:t>nationalliberale</w:t>
      </w:r>
      <w:r>
        <w:rPr>
          <w:rFonts w:ascii="Arial" w:hAnsi="Arial" w:cs="Arial"/>
          <w:color w:val="333333"/>
          <w:sz w:val="19"/>
          <w:szCs w:val="19"/>
        </w:rPr>
        <w:t> bevægelser i 1848 oprørsfanen over det meste af Europa. De krævede national samling, nationens suverænitet og demokratiske styreformer.</w:t>
      </w:r>
    </w:p>
    <w:p w14:paraId="1694C03D" w14:textId="77777777" w:rsidR="009442AF" w:rsidRDefault="009442AF" w:rsidP="009442AF">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Næsten alle de tyske fyrster blev tvunget til at indsætte nye, liberale ministerier, der gik i gang med at udarbejde frie, demokratiske forfatninger. Også den preussiske konge lovede at indføre en fri forfatning. Samtidig var det de nationalliberales store vision at få samlet alle tyske fyrstendømmer i én stat. Der blev også afholdt valg til en grundlovgivende forsamling for en sådan samlet nationalstat. Den mødtes i Frankfurt.</w:t>
      </w:r>
    </w:p>
    <w:p w14:paraId="639FAAE4" w14:textId="77777777" w:rsidR="009442AF" w:rsidRDefault="009442AF" w:rsidP="009442AF">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 xml:space="preserve">I Østrig førte revolutionsbølgen til, at konservatismens europæiske førstemand, </w:t>
      </w:r>
      <w:proofErr w:type="spellStart"/>
      <w:r>
        <w:rPr>
          <w:rFonts w:ascii="Arial" w:hAnsi="Arial" w:cs="Arial"/>
          <w:color w:val="333333"/>
          <w:sz w:val="19"/>
          <w:szCs w:val="19"/>
        </w:rPr>
        <w:t>Metternich</w:t>
      </w:r>
      <w:proofErr w:type="spellEnd"/>
      <w:r>
        <w:rPr>
          <w:rFonts w:ascii="Arial" w:hAnsi="Arial" w:cs="Arial"/>
          <w:color w:val="333333"/>
          <w:sz w:val="19"/>
          <w:szCs w:val="19"/>
        </w:rPr>
        <w:t>, måtte gå af som regeringsleder. Også her gav den kejserlige regering store indrømmelser og lovede en fri forfatning. Det viste sig imidlertid, at kejserrigets forskellige nationaliteter ikke alene stræbte efter politiske rettigheder inden for kejserrigets rammer, men også stræbte efter national uafhængighed. Det gjaldt især ungarerne og tjekkerne.</w:t>
      </w:r>
    </w:p>
    <w:p w14:paraId="7F6BD8A5" w14:textId="77777777" w:rsidR="009442AF" w:rsidRDefault="009442AF" w:rsidP="009442AF">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I løbet af 1848 fik reaktionen atter overtaget. Oprørene i det østrigske kejserrige blev slået ned, og tyskernes forhåbninger om et samlet, demokratisk Tyskland blev gjort til skamme. Alligevel satte revolutionerne deres præg på udviklingen. I Preussen udstedte kongen i 1850 en forfatning med en valgt, lovgivende forsamling, der dog var sammensat sådan, at den rigeste del af befolkning fik en helt dominerende indflydelse.</w:t>
      </w:r>
    </w:p>
    <w:p w14:paraId="676340C1" w14:textId="4A7709A5" w:rsidR="009442AF" w:rsidRDefault="009442AF" w:rsidP="009442AF">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Europa bevægede sig langsomt imod inddragelse af folket i landenes styre og i retning af national samling. Det gav det danske monarki store, ja, uovervindelige problemer.</w:t>
      </w:r>
    </w:p>
    <w:p w14:paraId="53B9CF43" w14:textId="3F220137" w:rsidR="009442AF" w:rsidRDefault="009442AF" w:rsidP="009442AF">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w:t>
      </w:r>
    </w:p>
    <w:p w14:paraId="0DC207A8" w14:textId="77777777" w:rsidR="00056664" w:rsidRDefault="00056664" w:rsidP="006741ED">
      <w:pPr>
        <w:shd w:val="clear" w:color="auto" w:fill="FFFFFF"/>
        <w:spacing w:before="375" w:after="75" w:line="240" w:lineRule="auto"/>
        <w:outlineLvl w:val="0"/>
        <w:rPr>
          <w:rFonts w:ascii="inherit" w:eastAsia="Times New Roman" w:hAnsi="inherit" w:cs="Arial"/>
          <w:b/>
          <w:bCs/>
          <w:color w:val="333333"/>
          <w:kern w:val="36"/>
          <w:sz w:val="23"/>
          <w:szCs w:val="23"/>
          <w:lang w:eastAsia="da-DK"/>
        </w:rPr>
      </w:pPr>
    </w:p>
    <w:p w14:paraId="3FB8F9A0" w14:textId="5CB458DD" w:rsidR="006741ED" w:rsidRPr="006741ED" w:rsidRDefault="006741ED" w:rsidP="006741ED">
      <w:pPr>
        <w:shd w:val="clear" w:color="auto" w:fill="FFFFFF"/>
        <w:spacing w:before="375" w:after="75" w:line="240" w:lineRule="auto"/>
        <w:outlineLvl w:val="0"/>
        <w:rPr>
          <w:rFonts w:ascii="inherit" w:eastAsia="Times New Roman" w:hAnsi="inherit" w:cs="Arial"/>
          <w:b/>
          <w:bCs/>
          <w:color w:val="333333"/>
          <w:kern w:val="36"/>
          <w:sz w:val="23"/>
          <w:szCs w:val="23"/>
          <w:lang w:eastAsia="da-DK"/>
        </w:rPr>
      </w:pPr>
      <w:r w:rsidRPr="006741ED">
        <w:rPr>
          <w:rFonts w:ascii="inherit" w:eastAsia="Times New Roman" w:hAnsi="inherit" w:cs="Arial"/>
          <w:b/>
          <w:bCs/>
          <w:color w:val="333333"/>
          <w:kern w:val="36"/>
          <w:sz w:val="23"/>
          <w:szCs w:val="23"/>
          <w:lang w:eastAsia="da-DK"/>
        </w:rPr>
        <w:t>Preussen samler Tyskland</w:t>
      </w:r>
    </w:p>
    <w:p w14:paraId="364D4598" w14:textId="5E778194" w:rsidR="006741ED" w:rsidRPr="006741ED" w:rsidRDefault="006741ED" w:rsidP="006741ED">
      <w:pPr>
        <w:shd w:val="clear" w:color="auto" w:fill="FFFFFF"/>
        <w:spacing w:after="0" w:line="240" w:lineRule="auto"/>
        <w:rPr>
          <w:rFonts w:ascii="Arial" w:eastAsia="Times New Roman" w:hAnsi="Arial" w:cs="Arial"/>
          <w:color w:val="333333"/>
          <w:sz w:val="19"/>
          <w:szCs w:val="19"/>
          <w:lang w:eastAsia="da-DK"/>
        </w:rPr>
      </w:pPr>
      <w:r w:rsidRPr="006741ED">
        <w:rPr>
          <w:rFonts w:ascii="Arial" w:eastAsia="Times New Roman" w:hAnsi="Arial" w:cs="Arial"/>
          <w:noProof/>
          <w:color w:val="7294B5"/>
          <w:sz w:val="19"/>
          <w:szCs w:val="19"/>
          <w:lang w:eastAsia="da-DK"/>
        </w:rPr>
        <w:drawing>
          <wp:inline distT="0" distB="0" distL="0" distR="0" wp14:anchorId="677F2F8D" wp14:editId="16629193">
            <wp:extent cx="4559300" cy="3009900"/>
            <wp:effectExtent l="0" t="0" r="0" b="0"/>
            <wp:docPr id="2" name="Billede 2" descr="Et billede, der indeholder tekst&#10;&#10;Automatisk genereret beskrivels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10;&#10;Automatisk genereret beskrivels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9300" cy="3009900"/>
                    </a:xfrm>
                    <a:prstGeom prst="rect">
                      <a:avLst/>
                    </a:prstGeom>
                    <a:noFill/>
                    <a:ln>
                      <a:noFill/>
                    </a:ln>
                  </pic:spPr>
                </pic:pic>
              </a:graphicData>
            </a:graphic>
          </wp:inline>
        </w:drawing>
      </w:r>
    </w:p>
    <w:p w14:paraId="4D73A339" w14:textId="77777777" w:rsidR="006741ED" w:rsidRPr="006741ED" w:rsidRDefault="006741ED" w:rsidP="006741ED">
      <w:pPr>
        <w:shd w:val="clear" w:color="auto" w:fill="FFFFFF"/>
        <w:spacing w:after="0" w:line="240" w:lineRule="auto"/>
        <w:rPr>
          <w:rFonts w:ascii="Arial" w:eastAsia="Times New Roman" w:hAnsi="Arial" w:cs="Arial"/>
          <w:color w:val="666666"/>
          <w:sz w:val="17"/>
          <w:szCs w:val="17"/>
          <w:lang w:eastAsia="da-DK"/>
        </w:rPr>
      </w:pPr>
      <w:r w:rsidRPr="006741ED">
        <w:rPr>
          <w:rFonts w:ascii="Arial" w:eastAsia="Times New Roman" w:hAnsi="Arial" w:cs="Arial"/>
          <w:color w:val="666666"/>
          <w:sz w:val="17"/>
          <w:szCs w:val="17"/>
          <w:lang w:eastAsia="da-DK"/>
        </w:rPr>
        <w:t>Preussens sejr i den fransk-tyske krig 1870-71 banede vej for et forenet Tyskland. Litografiet fra 1870'erne giver udtryk for den franske opfattelse af freden i 1871. Ved bordet sidder den tyske kejser, Wilhelm d. 1, og hans kansler, Otto von Bismarck. Foran dem ligger den franske krigsskadeserstatning, mens tyske soldater i baggrunden er i gang med at sikre sig krigsbytte. Til højre ses symbolet på de ulykkelige franske provinser Alsace og Lorraine, som blev indlemmet i det tyske rige. Svævende i luften ses dog den bibelske 'skriften på væggen', der fortæller den formastelige hersker, at hans dage er talte, og at hans rige vil blive delt!</w:t>
      </w:r>
    </w:p>
    <w:p w14:paraId="684994BA" w14:textId="77777777" w:rsidR="006741ED" w:rsidRPr="006741ED" w:rsidRDefault="006741ED" w:rsidP="006741ED">
      <w:pPr>
        <w:shd w:val="clear" w:color="auto" w:fill="FFFFFF"/>
        <w:spacing w:line="240" w:lineRule="auto"/>
        <w:rPr>
          <w:rFonts w:ascii="Arial" w:eastAsia="Times New Roman" w:hAnsi="Arial" w:cs="Arial"/>
          <w:color w:val="777777"/>
          <w:sz w:val="17"/>
          <w:szCs w:val="17"/>
          <w:lang w:eastAsia="da-DK"/>
        </w:rPr>
      </w:pPr>
      <w:r w:rsidRPr="006741ED">
        <w:rPr>
          <w:rFonts w:ascii="Arial" w:eastAsia="Times New Roman" w:hAnsi="Arial" w:cs="Arial"/>
          <w:color w:val="777777"/>
          <w:sz w:val="16"/>
          <w:szCs w:val="16"/>
          <w:lang w:val="en-US" w:eastAsia="da-DK"/>
        </w:rPr>
        <w:t xml:space="preserve">Der </w:t>
      </w:r>
      <w:proofErr w:type="spellStart"/>
      <w:r w:rsidRPr="006741ED">
        <w:rPr>
          <w:rFonts w:ascii="Arial" w:eastAsia="Times New Roman" w:hAnsi="Arial" w:cs="Arial"/>
          <w:color w:val="777777"/>
          <w:sz w:val="16"/>
          <w:szCs w:val="16"/>
          <w:lang w:val="en-US" w:eastAsia="da-DK"/>
        </w:rPr>
        <w:t>Friede</w:t>
      </w:r>
      <w:proofErr w:type="spellEnd"/>
      <w:r w:rsidRPr="006741ED">
        <w:rPr>
          <w:rFonts w:ascii="Arial" w:eastAsia="Times New Roman" w:hAnsi="Arial" w:cs="Arial"/>
          <w:color w:val="777777"/>
          <w:sz w:val="16"/>
          <w:szCs w:val="16"/>
          <w:lang w:val="en-US" w:eastAsia="da-DK"/>
        </w:rPr>
        <w:t xml:space="preserve"> von Frankfurt am Main am 10. </w:t>
      </w:r>
      <w:r w:rsidRPr="006741ED">
        <w:rPr>
          <w:rFonts w:ascii="Arial" w:eastAsia="Times New Roman" w:hAnsi="Arial" w:cs="Arial"/>
          <w:color w:val="777777"/>
          <w:sz w:val="16"/>
          <w:szCs w:val="16"/>
          <w:lang w:eastAsia="da-DK"/>
        </w:rPr>
        <w:t xml:space="preserve">Mai, 1871. Litografi. © Deutsches </w:t>
      </w:r>
      <w:proofErr w:type="spellStart"/>
      <w:r w:rsidRPr="006741ED">
        <w:rPr>
          <w:rFonts w:ascii="Arial" w:eastAsia="Times New Roman" w:hAnsi="Arial" w:cs="Arial"/>
          <w:color w:val="777777"/>
          <w:sz w:val="16"/>
          <w:szCs w:val="16"/>
          <w:lang w:eastAsia="da-DK"/>
        </w:rPr>
        <w:t>Historisches</w:t>
      </w:r>
      <w:proofErr w:type="spellEnd"/>
      <w:r w:rsidRPr="006741ED">
        <w:rPr>
          <w:rFonts w:ascii="Arial" w:eastAsia="Times New Roman" w:hAnsi="Arial" w:cs="Arial"/>
          <w:color w:val="777777"/>
          <w:sz w:val="16"/>
          <w:szCs w:val="16"/>
          <w:lang w:eastAsia="da-DK"/>
        </w:rPr>
        <w:t xml:space="preserve"> Museum/ A. </w:t>
      </w:r>
      <w:proofErr w:type="spellStart"/>
      <w:r w:rsidRPr="006741ED">
        <w:rPr>
          <w:rFonts w:ascii="Arial" w:eastAsia="Times New Roman" w:hAnsi="Arial" w:cs="Arial"/>
          <w:color w:val="777777"/>
          <w:sz w:val="16"/>
          <w:szCs w:val="16"/>
          <w:lang w:eastAsia="da-DK"/>
        </w:rPr>
        <w:t>Psille</w:t>
      </w:r>
      <w:proofErr w:type="spellEnd"/>
    </w:p>
    <w:p w14:paraId="5B9F97AA" w14:textId="77777777" w:rsidR="00056664" w:rsidRDefault="00056664" w:rsidP="006741ED">
      <w:pPr>
        <w:shd w:val="clear" w:color="auto" w:fill="FFFFFF"/>
        <w:spacing w:after="240" w:line="240" w:lineRule="auto"/>
        <w:rPr>
          <w:rFonts w:ascii="Arial" w:eastAsia="Times New Roman" w:hAnsi="Arial" w:cs="Arial"/>
          <w:color w:val="333333"/>
          <w:sz w:val="19"/>
          <w:szCs w:val="19"/>
          <w:lang w:eastAsia="da-DK"/>
        </w:rPr>
      </w:pPr>
    </w:p>
    <w:p w14:paraId="69DB874C" w14:textId="67AC64B0" w:rsidR="006741ED" w:rsidRPr="006741ED" w:rsidRDefault="006741ED" w:rsidP="006741ED">
      <w:pPr>
        <w:shd w:val="clear" w:color="auto" w:fill="FFFFFF"/>
        <w:spacing w:after="240" w:line="240" w:lineRule="auto"/>
        <w:rPr>
          <w:rFonts w:ascii="Arial" w:eastAsia="Times New Roman" w:hAnsi="Arial" w:cs="Arial"/>
          <w:color w:val="333333"/>
          <w:sz w:val="19"/>
          <w:szCs w:val="19"/>
          <w:lang w:eastAsia="da-DK"/>
        </w:rPr>
      </w:pPr>
      <w:r w:rsidRPr="006741ED">
        <w:rPr>
          <w:rFonts w:ascii="Arial" w:eastAsia="Times New Roman" w:hAnsi="Arial" w:cs="Arial"/>
          <w:color w:val="333333"/>
          <w:sz w:val="19"/>
          <w:szCs w:val="19"/>
          <w:lang w:eastAsia="da-DK"/>
        </w:rPr>
        <w:t>De tyske enhedsbestræbelser kronedes på længere sigt med held. Udover at de enkelte fyrster nødigt ville opgive deres suverænitet, var vanskeligheden ved at få samlet Tyskland, at der herskede en stærk rivalisering mellem det protestantiske Preussen og det katolske kejserrige Østrig, som var den største og politisk dominerende tyske stat. Det østrigske kejserrige bestod imidlertid af mange nationaliteter, så det var vanskeligt at se, hvordan det var foreneligt med en samlet tysk nationalstat.</w:t>
      </w:r>
    </w:p>
    <w:p w14:paraId="25E265BF" w14:textId="77777777" w:rsidR="006741ED" w:rsidRPr="006741ED" w:rsidRDefault="006741ED" w:rsidP="006741ED">
      <w:pPr>
        <w:shd w:val="clear" w:color="auto" w:fill="FFFFFF"/>
        <w:spacing w:after="240" w:line="240" w:lineRule="auto"/>
        <w:rPr>
          <w:rFonts w:ascii="Arial" w:eastAsia="Times New Roman" w:hAnsi="Arial" w:cs="Arial"/>
          <w:color w:val="333333"/>
          <w:sz w:val="19"/>
          <w:szCs w:val="19"/>
          <w:lang w:eastAsia="da-DK"/>
        </w:rPr>
      </w:pPr>
      <w:r w:rsidRPr="006741ED">
        <w:rPr>
          <w:rFonts w:ascii="Arial" w:eastAsia="Times New Roman" w:hAnsi="Arial" w:cs="Arial"/>
          <w:color w:val="333333"/>
          <w:sz w:val="19"/>
          <w:szCs w:val="19"/>
          <w:lang w:eastAsia="da-DK"/>
        </w:rPr>
        <w:t>I 1866 kom det til krig mellem Preussen og Østrig om administrationen af de tidligere danske områder Slesvig og Holsten, en krig, som Preussen vandt. Dermed var Østrig sat ud af spillet om Tysklands samling. Få år efter – i 1870 – gik Preussen og dets allierede tyske stater i krig med Frankrig. Også her sejrede preusserne. Dermed var de to stormagter, der kunne have interesse i at modsætte sig en tysk samling under Preussens ledelse, sat ud af spillet, og den preussiske konge kunne i 1871 lade sig udråbe til kejser over et samlet Tyskland – uden Østrig. Det skete i det franske kongeslot i Versailles ved afslutningen af den fransk-tyske krig.</w:t>
      </w:r>
    </w:p>
    <w:p w14:paraId="796622E1" w14:textId="77777777" w:rsidR="006741ED" w:rsidRPr="006741ED" w:rsidRDefault="006741ED" w:rsidP="006741ED">
      <w:pPr>
        <w:shd w:val="clear" w:color="auto" w:fill="FFFFFF"/>
        <w:spacing w:after="240" w:line="240" w:lineRule="auto"/>
        <w:rPr>
          <w:rFonts w:ascii="Arial" w:eastAsia="Times New Roman" w:hAnsi="Arial" w:cs="Arial"/>
          <w:color w:val="333333"/>
          <w:sz w:val="19"/>
          <w:szCs w:val="19"/>
          <w:lang w:eastAsia="da-DK"/>
        </w:rPr>
      </w:pPr>
      <w:r w:rsidRPr="006741ED">
        <w:rPr>
          <w:rFonts w:ascii="Arial" w:eastAsia="Times New Roman" w:hAnsi="Arial" w:cs="Arial"/>
          <w:color w:val="333333"/>
          <w:sz w:val="19"/>
          <w:szCs w:val="19"/>
          <w:lang w:eastAsia="da-DK"/>
        </w:rPr>
        <w:t>Nederlaget til Preussen svækkede selvfølgelig det østrigske kejserdømme. Der måtte gives indrømmelser til de liberale og nationale strømninger. I 1867 blev kejserriget delt i et østrigsk kejserrige og et ungarsk kongedømme med hver sin forfatning og hver sin lovgivende forsamling. Ungarerne opnåede således med 20 års forsinkelse det, de havde stræbt efter i 1848, men forblev dog i personalunion med Østrig.</w:t>
      </w:r>
    </w:p>
    <w:p w14:paraId="5E55116A" w14:textId="77777777" w:rsidR="006741ED" w:rsidRPr="006741ED" w:rsidRDefault="006741ED" w:rsidP="006741ED">
      <w:pPr>
        <w:shd w:val="clear" w:color="auto" w:fill="FFFFFF"/>
        <w:spacing w:after="240" w:line="240" w:lineRule="auto"/>
        <w:rPr>
          <w:rFonts w:ascii="Arial" w:eastAsia="Times New Roman" w:hAnsi="Arial" w:cs="Arial"/>
          <w:color w:val="333333"/>
          <w:sz w:val="19"/>
          <w:szCs w:val="19"/>
          <w:lang w:eastAsia="da-DK"/>
        </w:rPr>
      </w:pPr>
      <w:r w:rsidRPr="006741ED">
        <w:rPr>
          <w:rFonts w:ascii="Arial" w:eastAsia="Times New Roman" w:hAnsi="Arial" w:cs="Arial"/>
          <w:color w:val="333333"/>
          <w:sz w:val="19"/>
          <w:szCs w:val="19"/>
          <w:lang w:eastAsia="da-DK"/>
        </w:rPr>
        <w:t>Samlingen af de forskellige italienske fyrstendømmer til ét, samlet Italien fandt sted i 1861, og Italien blev et konstitutionelt monarki med en forholdsvis fri forfatning.</w:t>
      </w:r>
    </w:p>
    <w:p w14:paraId="0064A9EE" w14:textId="152CD9E3" w:rsidR="009442AF" w:rsidRPr="00056664" w:rsidRDefault="006741ED" w:rsidP="00056664">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w:t>
      </w:r>
      <w:r w:rsidR="00056664">
        <w:rPr>
          <w:rFonts w:ascii="Arial" w:hAnsi="Arial" w:cs="Arial"/>
          <w:color w:val="333333"/>
          <w:sz w:val="19"/>
          <w:szCs w:val="19"/>
        </w:rPr>
        <w:t>)</w:t>
      </w:r>
    </w:p>
    <w:sectPr w:rsidR="009442AF" w:rsidRPr="00056664">
      <w:headerReference w:type="default"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AD0AA" w14:textId="77777777" w:rsidR="004A5CCF" w:rsidRDefault="004A5CCF" w:rsidP="00D214B3">
      <w:pPr>
        <w:spacing w:after="0" w:line="240" w:lineRule="auto"/>
      </w:pPr>
      <w:r>
        <w:separator/>
      </w:r>
    </w:p>
  </w:endnote>
  <w:endnote w:type="continuationSeparator" w:id="0">
    <w:p w14:paraId="55A97CAA" w14:textId="77777777" w:rsidR="004A5CCF" w:rsidRDefault="004A5CCF" w:rsidP="00D21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252907"/>
      <w:docPartObj>
        <w:docPartGallery w:val="Page Numbers (Bottom of Page)"/>
        <w:docPartUnique/>
      </w:docPartObj>
    </w:sdtPr>
    <w:sdtContent>
      <w:p w14:paraId="6BA5EA17" w14:textId="7A00046A" w:rsidR="00F62FEE" w:rsidRDefault="00F62FEE">
        <w:pPr>
          <w:pStyle w:val="Sidefod"/>
          <w:jc w:val="right"/>
        </w:pPr>
        <w:r>
          <w:fldChar w:fldCharType="begin"/>
        </w:r>
        <w:r>
          <w:instrText>PAGE   \* MERGEFORMAT</w:instrText>
        </w:r>
        <w:r>
          <w:fldChar w:fldCharType="separate"/>
        </w:r>
        <w:r>
          <w:t>2</w:t>
        </w:r>
        <w:r>
          <w:fldChar w:fldCharType="end"/>
        </w:r>
      </w:p>
    </w:sdtContent>
  </w:sdt>
  <w:p w14:paraId="0ADC4C3F" w14:textId="77777777" w:rsidR="00F62FEE" w:rsidRDefault="00F62FE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A4D84" w14:textId="77777777" w:rsidR="004A5CCF" w:rsidRDefault="004A5CCF" w:rsidP="00D214B3">
      <w:pPr>
        <w:spacing w:after="0" w:line="240" w:lineRule="auto"/>
      </w:pPr>
      <w:r>
        <w:separator/>
      </w:r>
    </w:p>
  </w:footnote>
  <w:footnote w:type="continuationSeparator" w:id="0">
    <w:p w14:paraId="42FFCAE4" w14:textId="77777777" w:rsidR="004A5CCF" w:rsidRDefault="004A5CCF" w:rsidP="00D21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DFE01" w14:textId="0395F75A" w:rsidR="00D214B3" w:rsidRDefault="00D214B3">
    <w:pPr>
      <w:pStyle w:val="Sidehoved"/>
    </w:pPr>
    <w:r>
      <w:t>Hentes fra onlineudgaven på systimes hjemmeside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2AF"/>
    <w:rsid w:val="00056664"/>
    <w:rsid w:val="004A5CCF"/>
    <w:rsid w:val="006741ED"/>
    <w:rsid w:val="009442AF"/>
    <w:rsid w:val="00D214B3"/>
    <w:rsid w:val="00D32036"/>
    <w:rsid w:val="00F62F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839F2"/>
  <w15:chartTrackingRefBased/>
  <w15:docId w15:val="{7D842462-950B-4CC2-BEBC-E213B6EB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9442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442AF"/>
    <w:rPr>
      <w:rFonts w:ascii="Times New Roman" w:eastAsia="Times New Roman" w:hAnsi="Times New Roman" w:cs="Times New Roman"/>
      <w:b/>
      <w:bCs/>
      <w:kern w:val="36"/>
      <w:sz w:val="48"/>
      <w:szCs w:val="48"/>
      <w:lang w:eastAsia="da-DK"/>
    </w:rPr>
  </w:style>
  <w:style w:type="paragraph" w:styleId="NormalWeb">
    <w:name w:val="Normal (Web)"/>
    <w:basedOn w:val="Normal"/>
    <w:uiPriority w:val="99"/>
    <w:unhideWhenUsed/>
    <w:rsid w:val="009442A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abel">
    <w:name w:val="label"/>
    <w:basedOn w:val="Standardskrifttypeiafsnit"/>
    <w:rsid w:val="009442AF"/>
  </w:style>
  <w:style w:type="character" w:customStyle="1" w:styleId="credits">
    <w:name w:val="credits"/>
    <w:basedOn w:val="Standardskrifttypeiafsnit"/>
    <w:rsid w:val="009442AF"/>
  </w:style>
  <w:style w:type="character" w:customStyle="1" w:styleId="index">
    <w:name w:val="index"/>
    <w:basedOn w:val="Standardskrifttypeiafsnit"/>
    <w:rsid w:val="009442AF"/>
  </w:style>
  <w:style w:type="character" w:styleId="Hyperlink">
    <w:name w:val="Hyperlink"/>
    <w:basedOn w:val="Standardskrifttypeiafsnit"/>
    <w:uiPriority w:val="99"/>
    <w:unhideWhenUsed/>
    <w:rsid w:val="006741ED"/>
    <w:rPr>
      <w:color w:val="0000FF"/>
      <w:u w:val="single"/>
    </w:rPr>
  </w:style>
  <w:style w:type="character" w:styleId="Ulstomtale">
    <w:name w:val="Unresolved Mention"/>
    <w:basedOn w:val="Standardskrifttypeiafsnit"/>
    <w:uiPriority w:val="99"/>
    <w:semiHidden/>
    <w:unhideWhenUsed/>
    <w:rsid w:val="006741ED"/>
    <w:rPr>
      <w:color w:val="605E5C"/>
      <w:shd w:val="clear" w:color="auto" w:fill="E1DFDD"/>
    </w:rPr>
  </w:style>
  <w:style w:type="paragraph" w:styleId="Sidehoved">
    <w:name w:val="header"/>
    <w:basedOn w:val="Normal"/>
    <w:link w:val="SidehovedTegn"/>
    <w:uiPriority w:val="99"/>
    <w:unhideWhenUsed/>
    <w:rsid w:val="00D214B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214B3"/>
  </w:style>
  <w:style w:type="paragraph" w:styleId="Sidefod">
    <w:name w:val="footer"/>
    <w:basedOn w:val="Normal"/>
    <w:link w:val="SidefodTegn"/>
    <w:uiPriority w:val="99"/>
    <w:unhideWhenUsed/>
    <w:rsid w:val="00D214B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21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002294">
      <w:bodyDiv w:val="1"/>
      <w:marLeft w:val="0"/>
      <w:marRight w:val="0"/>
      <w:marTop w:val="0"/>
      <w:marBottom w:val="0"/>
      <w:divBdr>
        <w:top w:val="none" w:sz="0" w:space="0" w:color="auto"/>
        <w:left w:val="none" w:sz="0" w:space="0" w:color="auto"/>
        <w:bottom w:val="none" w:sz="0" w:space="0" w:color="auto"/>
        <w:right w:val="none" w:sz="0" w:space="0" w:color="auto"/>
      </w:divBdr>
      <w:divsChild>
        <w:div w:id="2049404026">
          <w:marLeft w:val="0"/>
          <w:marRight w:val="0"/>
          <w:marTop w:val="0"/>
          <w:marBottom w:val="0"/>
          <w:divBdr>
            <w:top w:val="none" w:sz="0" w:space="0" w:color="auto"/>
            <w:left w:val="none" w:sz="0" w:space="0" w:color="auto"/>
            <w:bottom w:val="none" w:sz="0" w:space="0" w:color="auto"/>
            <w:right w:val="none" w:sz="0" w:space="0" w:color="auto"/>
          </w:divBdr>
        </w:div>
        <w:div w:id="425460107">
          <w:marLeft w:val="-15"/>
          <w:marRight w:val="-15"/>
          <w:marTop w:val="0"/>
          <w:marBottom w:val="300"/>
          <w:divBdr>
            <w:top w:val="single" w:sz="6" w:space="0" w:color="E3EAF0"/>
            <w:left w:val="single" w:sz="6" w:space="0" w:color="E3EAF0"/>
            <w:bottom w:val="single" w:sz="6" w:space="0" w:color="E3EAF0"/>
            <w:right w:val="single" w:sz="6" w:space="0" w:color="E3EAF0"/>
          </w:divBdr>
          <w:divsChild>
            <w:div w:id="643200039">
              <w:marLeft w:val="0"/>
              <w:marRight w:val="0"/>
              <w:marTop w:val="0"/>
              <w:marBottom w:val="0"/>
              <w:divBdr>
                <w:top w:val="none" w:sz="0" w:space="0" w:color="auto"/>
                <w:left w:val="none" w:sz="0" w:space="0" w:color="auto"/>
                <w:bottom w:val="none" w:sz="0" w:space="0" w:color="auto"/>
                <w:right w:val="none" w:sz="0" w:space="0" w:color="auto"/>
              </w:divBdr>
              <w:divsChild>
                <w:div w:id="456992760">
                  <w:marLeft w:val="0"/>
                  <w:marRight w:val="0"/>
                  <w:marTop w:val="0"/>
                  <w:marBottom w:val="0"/>
                  <w:divBdr>
                    <w:top w:val="none" w:sz="0" w:space="0" w:color="auto"/>
                    <w:left w:val="none" w:sz="0" w:space="0" w:color="auto"/>
                    <w:bottom w:val="none" w:sz="0" w:space="0" w:color="auto"/>
                    <w:right w:val="none" w:sz="0" w:space="0" w:color="auto"/>
                  </w:divBdr>
                </w:div>
                <w:div w:id="1778524146">
                  <w:marLeft w:val="0"/>
                  <w:marRight w:val="0"/>
                  <w:marTop w:val="0"/>
                  <w:marBottom w:val="240"/>
                  <w:divBdr>
                    <w:top w:val="none" w:sz="0" w:space="0" w:color="auto"/>
                    <w:left w:val="none" w:sz="0" w:space="0" w:color="auto"/>
                    <w:bottom w:val="none" w:sz="0" w:space="0" w:color="auto"/>
                    <w:right w:val="none" w:sz="0" w:space="0" w:color="auto"/>
                  </w:divBdr>
                  <w:divsChild>
                    <w:div w:id="1166359559">
                      <w:marLeft w:val="-15"/>
                      <w:marRight w:val="-15"/>
                      <w:marTop w:val="0"/>
                      <w:marBottom w:val="300"/>
                      <w:divBdr>
                        <w:top w:val="single" w:sz="6" w:space="0" w:color="CCCCCC"/>
                        <w:left w:val="single" w:sz="6" w:space="0" w:color="CCCCCC"/>
                        <w:bottom w:val="single" w:sz="6" w:space="0" w:color="CCCCCC"/>
                        <w:right w:val="single" w:sz="6" w:space="0" w:color="CCCCCC"/>
                      </w:divBdr>
                      <w:divsChild>
                        <w:div w:id="123810351">
                          <w:marLeft w:val="0"/>
                          <w:marRight w:val="0"/>
                          <w:marTop w:val="0"/>
                          <w:marBottom w:val="0"/>
                          <w:divBdr>
                            <w:top w:val="none" w:sz="0" w:space="0" w:color="auto"/>
                            <w:left w:val="none" w:sz="0" w:space="0" w:color="auto"/>
                            <w:bottom w:val="none" w:sz="0" w:space="0" w:color="auto"/>
                            <w:right w:val="none" w:sz="0" w:space="0" w:color="auto"/>
                          </w:divBdr>
                          <w:divsChild>
                            <w:div w:id="1194684954">
                              <w:marLeft w:val="0"/>
                              <w:marRight w:val="0"/>
                              <w:marTop w:val="240"/>
                              <w:marBottom w:val="240"/>
                              <w:divBdr>
                                <w:top w:val="none" w:sz="0" w:space="0" w:color="auto"/>
                                <w:left w:val="none" w:sz="0" w:space="0" w:color="auto"/>
                                <w:bottom w:val="none" w:sz="0" w:space="0" w:color="auto"/>
                                <w:right w:val="none" w:sz="0" w:space="0" w:color="auto"/>
                              </w:divBdr>
                              <w:divsChild>
                                <w:div w:id="15965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642135">
                      <w:marLeft w:val="0"/>
                      <w:marRight w:val="0"/>
                      <w:marTop w:val="0"/>
                      <w:marBottom w:val="0"/>
                      <w:divBdr>
                        <w:top w:val="none" w:sz="0" w:space="0" w:color="auto"/>
                        <w:left w:val="none" w:sz="0" w:space="0" w:color="auto"/>
                        <w:bottom w:val="none" w:sz="0" w:space="0" w:color="auto"/>
                        <w:right w:val="none" w:sz="0" w:space="0" w:color="auto"/>
                      </w:divBdr>
                      <w:divsChild>
                        <w:div w:id="1650205777">
                          <w:marLeft w:val="0"/>
                          <w:marRight w:val="0"/>
                          <w:marTop w:val="0"/>
                          <w:marBottom w:val="0"/>
                          <w:divBdr>
                            <w:top w:val="none" w:sz="0" w:space="0" w:color="auto"/>
                            <w:left w:val="none" w:sz="0" w:space="0" w:color="auto"/>
                            <w:bottom w:val="none" w:sz="0" w:space="0" w:color="auto"/>
                            <w:right w:val="none" w:sz="0" w:space="0" w:color="auto"/>
                          </w:divBdr>
                        </w:div>
                        <w:div w:id="689112443">
                          <w:marLeft w:val="0"/>
                          <w:marRight w:val="0"/>
                          <w:marTop w:val="0"/>
                          <w:marBottom w:val="423"/>
                          <w:divBdr>
                            <w:top w:val="none" w:sz="0" w:space="0" w:color="auto"/>
                            <w:left w:val="none" w:sz="0" w:space="0" w:color="auto"/>
                            <w:bottom w:val="none" w:sz="0" w:space="0" w:color="auto"/>
                            <w:right w:val="none" w:sz="0" w:space="0" w:color="auto"/>
                          </w:divBdr>
                          <w:divsChild>
                            <w:div w:id="146515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229814">
          <w:marLeft w:val="0"/>
          <w:marRight w:val="0"/>
          <w:marTop w:val="0"/>
          <w:marBottom w:val="0"/>
          <w:divBdr>
            <w:top w:val="none" w:sz="0" w:space="0" w:color="auto"/>
            <w:left w:val="none" w:sz="0" w:space="0" w:color="auto"/>
            <w:bottom w:val="none" w:sz="0" w:space="0" w:color="auto"/>
            <w:right w:val="none" w:sz="0" w:space="0" w:color="auto"/>
          </w:divBdr>
        </w:div>
      </w:divsChild>
    </w:div>
    <w:div w:id="1161308657">
      <w:bodyDiv w:val="1"/>
      <w:marLeft w:val="0"/>
      <w:marRight w:val="0"/>
      <w:marTop w:val="0"/>
      <w:marBottom w:val="0"/>
      <w:divBdr>
        <w:top w:val="none" w:sz="0" w:space="0" w:color="auto"/>
        <w:left w:val="none" w:sz="0" w:space="0" w:color="auto"/>
        <w:bottom w:val="none" w:sz="0" w:space="0" w:color="auto"/>
        <w:right w:val="none" w:sz="0" w:space="0" w:color="auto"/>
      </w:divBdr>
    </w:div>
    <w:div w:id="1619872996">
      <w:bodyDiv w:val="1"/>
      <w:marLeft w:val="0"/>
      <w:marRight w:val="0"/>
      <w:marTop w:val="0"/>
      <w:marBottom w:val="0"/>
      <w:divBdr>
        <w:top w:val="none" w:sz="0" w:space="0" w:color="auto"/>
        <w:left w:val="none" w:sz="0" w:space="0" w:color="auto"/>
        <w:bottom w:val="none" w:sz="0" w:space="0" w:color="auto"/>
        <w:right w:val="none" w:sz="0" w:space="0" w:color="auto"/>
      </w:divBdr>
    </w:div>
    <w:div w:id="2026203685">
      <w:bodyDiv w:val="1"/>
      <w:marLeft w:val="0"/>
      <w:marRight w:val="0"/>
      <w:marTop w:val="0"/>
      <w:marBottom w:val="0"/>
      <w:divBdr>
        <w:top w:val="none" w:sz="0" w:space="0" w:color="auto"/>
        <w:left w:val="none" w:sz="0" w:space="0" w:color="auto"/>
        <w:bottom w:val="none" w:sz="0" w:space="0" w:color="auto"/>
        <w:right w:val="none" w:sz="0" w:space="0" w:color="auto"/>
      </w:divBdr>
      <w:divsChild>
        <w:div w:id="137573783">
          <w:marLeft w:val="0"/>
          <w:marRight w:val="0"/>
          <w:marTop w:val="0"/>
          <w:marBottom w:val="0"/>
          <w:divBdr>
            <w:top w:val="none" w:sz="0" w:space="0" w:color="auto"/>
            <w:left w:val="none" w:sz="0" w:space="0" w:color="auto"/>
            <w:bottom w:val="none" w:sz="0" w:space="0" w:color="auto"/>
            <w:right w:val="none" w:sz="0" w:space="0" w:color="auto"/>
          </w:divBdr>
        </w:div>
        <w:div w:id="2097242762">
          <w:marLeft w:val="0"/>
          <w:marRight w:val="0"/>
          <w:marTop w:val="0"/>
          <w:marBottom w:val="0"/>
          <w:divBdr>
            <w:top w:val="none" w:sz="0" w:space="0" w:color="auto"/>
            <w:left w:val="none" w:sz="0" w:space="0" w:color="auto"/>
            <w:bottom w:val="none" w:sz="0" w:space="0" w:color="auto"/>
            <w:right w:val="none" w:sz="0" w:space="0" w:color="auto"/>
          </w:divBdr>
        </w:div>
      </w:divsChild>
    </w:div>
    <w:div w:id="2104645878">
      <w:bodyDiv w:val="1"/>
      <w:marLeft w:val="0"/>
      <w:marRight w:val="0"/>
      <w:marTop w:val="0"/>
      <w:marBottom w:val="0"/>
      <w:divBdr>
        <w:top w:val="none" w:sz="0" w:space="0" w:color="auto"/>
        <w:left w:val="none" w:sz="0" w:space="0" w:color="auto"/>
        <w:bottom w:val="none" w:sz="0" w:space="0" w:color="auto"/>
        <w:right w:val="none" w:sz="0" w:space="0" w:color="auto"/>
      </w:divBdr>
      <w:divsChild>
        <w:div w:id="366302108">
          <w:marLeft w:val="0"/>
          <w:marRight w:val="0"/>
          <w:marTop w:val="0"/>
          <w:marBottom w:val="0"/>
          <w:divBdr>
            <w:top w:val="none" w:sz="0" w:space="0" w:color="auto"/>
            <w:left w:val="none" w:sz="0" w:space="0" w:color="auto"/>
            <w:bottom w:val="none" w:sz="0" w:space="0" w:color="auto"/>
            <w:right w:val="none" w:sz="0" w:space="0" w:color="auto"/>
          </w:divBdr>
        </w:div>
        <w:div w:id="2054383131">
          <w:marLeft w:val="0"/>
          <w:marRight w:val="0"/>
          <w:marTop w:val="240"/>
          <w:marBottom w:val="240"/>
          <w:divBdr>
            <w:top w:val="none" w:sz="0" w:space="0" w:color="auto"/>
            <w:left w:val="none" w:sz="0" w:space="0" w:color="auto"/>
            <w:bottom w:val="none" w:sz="0" w:space="0" w:color="auto"/>
            <w:right w:val="none" w:sz="0" w:space="0" w:color="auto"/>
          </w:divBdr>
          <w:divsChild>
            <w:div w:id="692071330">
              <w:marLeft w:val="0"/>
              <w:marRight w:val="0"/>
              <w:marTop w:val="100"/>
              <w:marBottom w:val="100"/>
              <w:divBdr>
                <w:top w:val="none" w:sz="0" w:space="0" w:color="auto"/>
                <w:left w:val="none" w:sz="0" w:space="0" w:color="auto"/>
                <w:bottom w:val="none" w:sz="0" w:space="0" w:color="auto"/>
                <w:right w:val="none" w:sz="0" w:space="0" w:color="auto"/>
              </w:divBdr>
              <w:divsChild>
                <w:div w:id="896476485">
                  <w:marLeft w:val="0"/>
                  <w:marRight w:val="0"/>
                  <w:marTop w:val="0"/>
                  <w:marBottom w:val="0"/>
                  <w:divBdr>
                    <w:top w:val="none" w:sz="0" w:space="0" w:color="auto"/>
                    <w:left w:val="none" w:sz="0" w:space="0" w:color="auto"/>
                    <w:bottom w:val="none" w:sz="0" w:space="0" w:color="auto"/>
                    <w:right w:val="none" w:sz="0" w:space="0" w:color="auto"/>
                  </w:divBdr>
                </w:div>
                <w:div w:id="1114792878">
                  <w:marLeft w:val="0"/>
                  <w:marRight w:val="0"/>
                  <w:marTop w:val="96"/>
                  <w:marBottom w:val="240"/>
                  <w:divBdr>
                    <w:top w:val="none" w:sz="0" w:space="0" w:color="auto"/>
                    <w:left w:val="none" w:sz="0" w:space="0" w:color="auto"/>
                    <w:bottom w:val="none" w:sz="0" w:space="0" w:color="auto"/>
                    <w:right w:val="none" w:sz="0" w:space="0" w:color="auto"/>
                  </w:divBdr>
                  <w:divsChild>
                    <w:div w:id="18046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92791">
          <w:marLeft w:val="0"/>
          <w:marRight w:val="0"/>
          <w:marTop w:val="0"/>
          <w:marBottom w:val="0"/>
          <w:divBdr>
            <w:top w:val="none" w:sz="0" w:space="0" w:color="auto"/>
            <w:left w:val="none" w:sz="0" w:space="0" w:color="auto"/>
            <w:bottom w:val="none" w:sz="0" w:space="0" w:color="auto"/>
            <w:right w:val="none" w:sz="0" w:space="0" w:color="auto"/>
          </w:divBdr>
        </w:div>
        <w:div w:id="1107315903">
          <w:marLeft w:val="0"/>
          <w:marRight w:val="0"/>
          <w:marTop w:val="240"/>
          <w:marBottom w:val="240"/>
          <w:divBdr>
            <w:top w:val="none" w:sz="0" w:space="0" w:color="auto"/>
            <w:left w:val="none" w:sz="0" w:space="0" w:color="auto"/>
            <w:bottom w:val="none" w:sz="0" w:space="0" w:color="auto"/>
            <w:right w:val="none" w:sz="0" w:space="0" w:color="auto"/>
          </w:divBdr>
          <w:divsChild>
            <w:div w:id="774135583">
              <w:marLeft w:val="0"/>
              <w:marRight w:val="0"/>
              <w:marTop w:val="100"/>
              <w:marBottom w:val="100"/>
              <w:divBdr>
                <w:top w:val="none" w:sz="0" w:space="0" w:color="auto"/>
                <w:left w:val="none" w:sz="0" w:space="0" w:color="auto"/>
                <w:bottom w:val="none" w:sz="0" w:space="0" w:color="auto"/>
                <w:right w:val="none" w:sz="0" w:space="0" w:color="auto"/>
              </w:divBdr>
              <w:divsChild>
                <w:div w:id="765543501">
                  <w:marLeft w:val="0"/>
                  <w:marRight w:val="0"/>
                  <w:marTop w:val="0"/>
                  <w:marBottom w:val="0"/>
                  <w:divBdr>
                    <w:top w:val="none" w:sz="0" w:space="0" w:color="auto"/>
                    <w:left w:val="none" w:sz="0" w:space="0" w:color="auto"/>
                    <w:bottom w:val="none" w:sz="0" w:space="0" w:color="auto"/>
                    <w:right w:val="none" w:sz="0" w:space="0" w:color="auto"/>
                  </w:divBdr>
                </w:div>
                <w:div w:id="739062895">
                  <w:marLeft w:val="0"/>
                  <w:marRight w:val="0"/>
                  <w:marTop w:val="96"/>
                  <w:marBottom w:val="240"/>
                  <w:divBdr>
                    <w:top w:val="none" w:sz="0" w:space="0" w:color="auto"/>
                    <w:left w:val="none" w:sz="0" w:space="0" w:color="auto"/>
                    <w:bottom w:val="none" w:sz="0" w:space="0" w:color="auto"/>
                    <w:right w:val="none" w:sz="0" w:space="0" w:color="auto"/>
                  </w:divBdr>
                  <w:divsChild>
                    <w:div w:id="13965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0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verdenfoer1914idanskperspektiv.systime.dk/fileadmin/_processed_/d/2/csm_262_96003303_red_02_c8dba27c58.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FDEFE-CB6A-44E7-B1D2-D276728A3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1108</Words>
  <Characters>6763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Løgstrup</dc:creator>
  <cp:keywords/>
  <dc:description/>
  <cp:lastModifiedBy>Kasper Løgstrup</cp:lastModifiedBy>
  <cp:revision>3</cp:revision>
  <cp:lastPrinted>2022-01-09T08:37:00Z</cp:lastPrinted>
  <dcterms:created xsi:type="dcterms:W3CDTF">2022-01-09T08:26:00Z</dcterms:created>
  <dcterms:modified xsi:type="dcterms:W3CDTF">2022-01-09T11:37:00Z</dcterms:modified>
</cp:coreProperties>
</file>