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61BC6" w14:textId="77777777" w:rsidR="00866592" w:rsidRDefault="00866592" w:rsidP="00866592">
      <w:pPr>
        <w:ind w:right="195"/>
        <w:outlineLvl w:val="0"/>
        <w:rPr>
          <w:rFonts w:ascii="Arial" w:eastAsia="Times New Roman" w:hAnsi="Arial" w:cs="Arial"/>
          <w:color w:val="333333"/>
          <w:kern w:val="36"/>
          <w:sz w:val="35"/>
          <w:szCs w:val="35"/>
          <w:lang w:eastAsia="da-DK"/>
        </w:rPr>
      </w:pPr>
      <w:r w:rsidRPr="00866592">
        <w:rPr>
          <w:rFonts w:ascii="Arial" w:eastAsia="Times New Roman" w:hAnsi="Arial" w:cs="Arial"/>
          <w:color w:val="333333"/>
          <w:kern w:val="36"/>
          <w:sz w:val="35"/>
          <w:szCs w:val="35"/>
          <w:lang w:eastAsia="da-DK"/>
        </w:rPr>
        <w:t>Indefra og udefra</w:t>
      </w:r>
    </w:p>
    <w:p w14:paraId="2B044AF4" w14:textId="77777777" w:rsidR="00866592" w:rsidRDefault="00866592" w:rsidP="00866592">
      <w:pPr>
        <w:ind w:right="195"/>
        <w:outlineLvl w:val="0"/>
        <w:rPr>
          <w:rFonts w:ascii="Arial" w:eastAsia="Times New Roman" w:hAnsi="Arial" w:cs="Arial"/>
          <w:color w:val="333333"/>
          <w:kern w:val="36"/>
          <w:sz w:val="35"/>
          <w:szCs w:val="35"/>
          <w:lang w:eastAsia="da-DK"/>
        </w:rPr>
      </w:pPr>
    </w:p>
    <w:p w14:paraId="5EBC4C2E" w14:textId="77777777" w:rsidR="00866592" w:rsidRDefault="00866592" w:rsidP="00866592">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Man kan se forskelligt på en religion alt efter, om man tilhører den eller ej. Når man analyserer forskellige udsagn om religion, bruger man begreberne</w:t>
      </w:r>
      <w:r>
        <w:rPr>
          <w:rStyle w:val="apple-converted-space"/>
          <w:rFonts w:ascii="Arial" w:hAnsi="Arial" w:cs="Arial"/>
          <w:color w:val="333333"/>
          <w:sz w:val="19"/>
          <w:szCs w:val="19"/>
        </w:rPr>
        <w:t> </w:t>
      </w:r>
      <w:r>
        <w:rPr>
          <w:rStyle w:val="index"/>
          <w:rFonts w:ascii="Arial" w:hAnsi="Arial" w:cs="Arial"/>
          <w:color w:val="333333"/>
          <w:sz w:val="19"/>
          <w:szCs w:val="19"/>
        </w:rPr>
        <w:t>indefra</w:t>
      </w:r>
      <w:r>
        <w:rPr>
          <w:rStyle w:val="apple-converted-space"/>
          <w:rFonts w:ascii="Arial" w:hAnsi="Arial" w:cs="Arial"/>
          <w:color w:val="333333"/>
          <w:sz w:val="19"/>
          <w:szCs w:val="19"/>
        </w:rPr>
        <w:t> </w:t>
      </w:r>
      <w:r>
        <w:rPr>
          <w:rFonts w:ascii="Arial" w:hAnsi="Arial" w:cs="Arial"/>
          <w:color w:val="333333"/>
          <w:sz w:val="19"/>
          <w:szCs w:val="19"/>
        </w:rPr>
        <w:t>og udefra. Indefra- og udefra-synsvinker bruges dermed til at fastslå et udsagns formål og afsenderens identitet.</w:t>
      </w:r>
    </w:p>
    <w:p w14:paraId="78C35CDF" w14:textId="77777777" w:rsidR="00866592" w:rsidRDefault="00866592" w:rsidP="00866592">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Udefra-udsagn kan både være subjektive og objektive. Fælles for dem er, at afsenderens udsagn ikke er farvet af livssynet hos den gruppe, der omtales. Eksempler på udefra-udsagn kan være forskere, som udtaler sig objektivt om en religion eller en religiøs person. Der er også tale om udefra-synsvinkler, når en religiøs person udtaler sig om en anden religion. Et eksempel på dette vil være en kristen, som udtaler sig om muslimer og islam. Disse udsagn kan både være subjektive og objektive. En tredje gruppe udefra-udsagn er fra ex-medlemmer af en trosretning. Det kan være tidligere medlemmer af Jehovas Vidner, som omtaler deres tidligere religion. Sådanne udsagn vil ofte være ekstremt negative over for den pågældende religion.</w:t>
      </w:r>
    </w:p>
    <w:p w14:paraId="79CEC0E2" w14:textId="77777777" w:rsidR="00866592" w:rsidRDefault="00866592" w:rsidP="00866592">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Indefra-tekster er positive udsagn fra en troende, der gerne vil dele troen med andre.</w:t>
      </w:r>
    </w:p>
    <w:p w14:paraId="0BCA9145" w14:textId="77777777" w:rsidR="00866592" w:rsidRDefault="00866592" w:rsidP="00866592">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Det er vigtigt at slå fast, at man godt kan være medlem af en menighed og samtidig have en objektiv tilgang og behandle religionen med en religionsfaglig tilgang. Blot fordi en person er kristen, muslim eller buddhist, har man ikke nødvendigvis en indefra-synsvinkel på sin egen religion. Man må se på det konkrete indhold i et udsagn og derigennem afgøre, om teksten primært har et missionerende eller oplysende formål. Ofte kan det være svært at skelne i praksis.</w:t>
      </w:r>
    </w:p>
    <w:tbl>
      <w:tblPr>
        <w:tblW w:w="9848" w:type="dxa"/>
        <w:tblCellMar>
          <w:top w:w="15" w:type="dxa"/>
          <w:left w:w="15" w:type="dxa"/>
          <w:bottom w:w="15" w:type="dxa"/>
          <w:right w:w="15" w:type="dxa"/>
        </w:tblCellMar>
        <w:tblLook w:val="04A0" w:firstRow="1" w:lastRow="0" w:firstColumn="1" w:lastColumn="0" w:noHBand="0" w:noVBand="1"/>
        <w:tblDescription w:val=""/>
      </w:tblPr>
      <w:tblGrid>
        <w:gridCol w:w="1014"/>
        <w:gridCol w:w="3036"/>
        <w:gridCol w:w="3042"/>
        <w:gridCol w:w="2756"/>
      </w:tblGrid>
      <w:tr w:rsidR="00866592" w:rsidRPr="00866592" w14:paraId="4C5528DD" w14:textId="77777777" w:rsidTr="00866592">
        <w:trPr>
          <w:trHeight w:val="339"/>
        </w:trPr>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7533BE95" w14:textId="77777777" w:rsidR="00866592" w:rsidRPr="00866592" w:rsidRDefault="00866592" w:rsidP="00866592">
            <w:pPr>
              <w:rPr>
                <w:rFonts w:ascii="Times New Roman" w:hAnsi="Times New Roman" w:cs="Times New Roman"/>
                <w:sz w:val="20"/>
                <w:szCs w:val="20"/>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5D235503" w14:textId="77777777" w:rsidR="00866592" w:rsidRPr="00866592" w:rsidRDefault="00866592" w:rsidP="00866592">
            <w:pPr>
              <w:jc w:val="center"/>
              <w:rPr>
                <w:rFonts w:ascii="Times New Roman" w:eastAsia="Times New Roman" w:hAnsi="Times New Roman" w:cs="Times New Roman"/>
                <w:b/>
                <w:bCs/>
                <w:lang w:eastAsia="da-DK"/>
              </w:rPr>
            </w:pPr>
            <w:r w:rsidRPr="00866592">
              <w:rPr>
                <w:rFonts w:ascii="Times New Roman" w:eastAsia="Times New Roman" w:hAnsi="Times New Roman" w:cs="Times New Roman"/>
                <w:b/>
                <w:bCs/>
                <w:lang w:eastAsia="da-DK"/>
              </w:rPr>
              <w:t>Personligt, positivt engagement</w:t>
            </w:r>
          </w:p>
        </w:tc>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2F8129BC" w14:textId="77777777" w:rsidR="00866592" w:rsidRPr="00866592" w:rsidRDefault="00866592" w:rsidP="00866592">
            <w:pPr>
              <w:jc w:val="center"/>
              <w:rPr>
                <w:rFonts w:ascii="Times New Roman" w:eastAsia="Times New Roman" w:hAnsi="Times New Roman" w:cs="Times New Roman"/>
                <w:b/>
                <w:bCs/>
                <w:lang w:eastAsia="da-DK"/>
              </w:rPr>
            </w:pPr>
            <w:r w:rsidRPr="00866592">
              <w:rPr>
                <w:rFonts w:ascii="Times New Roman" w:eastAsia="Times New Roman" w:hAnsi="Times New Roman" w:cs="Times New Roman"/>
                <w:b/>
                <w:bCs/>
                <w:lang w:eastAsia="da-DK"/>
              </w:rPr>
              <w:t>Personligt, negativt engagement</w:t>
            </w:r>
          </w:p>
        </w:tc>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092ADC61" w14:textId="77777777" w:rsidR="00866592" w:rsidRPr="00866592" w:rsidRDefault="00866592" w:rsidP="00866592">
            <w:pPr>
              <w:jc w:val="center"/>
              <w:rPr>
                <w:rFonts w:ascii="Times New Roman" w:eastAsia="Times New Roman" w:hAnsi="Times New Roman" w:cs="Times New Roman"/>
                <w:b/>
                <w:bCs/>
                <w:lang w:eastAsia="da-DK"/>
              </w:rPr>
            </w:pPr>
            <w:r w:rsidRPr="00866592">
              <w:rPr>
                <w:rFonts w:ascii="Times New Roman" w:eastAsia="Times New Roman" w:hAnsi="Times New Roman" w:cs="Times New Roman"/>
                <w:b/>
                <w:bCs/>
                <w:lang w:eastAsia="da-DK"/>
              </w:rPr>
              <w:t>Objektiv, analyserende tilgang</w:t>
            </w:r>
          </w:p>
        </w:tc>
      </w:tr>
      <w:tr w:rsidR="00866592" w:rsidRPr="00866592" w14:paraId="3407EC85" w14:textId="77777777" w:rsidTr="00866592">
        <w:trPr>
          <w:trHeight w:val="1324"/>
        </w:trPr>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7A0D85E4" w14:textId="77777777" w:rsidR="00866592" w:rsidRPr="00866592" w:rsidRDefault="00866592" w:rsidP="00866592">
            <w:pPr>
              <w:rPr>
                <w:rFonts w:ascii="Times New Roman" w:eastAsia="Times New Roman" w:hAnsi="Times New Roman" w:cs="Times New Roman"/>
                <w:b/>
                <w:bCs/>
                <w:lang w:eastAsia="da-DK"/>
              </w:rPr>
            </w:pPr>
            <w:r w:rsidRPr="00866592">
              <w:rPr>
                <w:rFonts w:ascii="Times New Roman" w:eastAsia="Times New Roman" w:hAnsi="Times New Roman" w:cs="Times New Roman"/>
                <w:b/>
                <w:bCs/>
                <w:lang w:eastAsia="da-DK"/>
              </w:rPr>
              <w:t>Udefra</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3D67356" w14:textId="77777777" w:rsidR="00866592" w:rsidRPr="00866592" w:rsidRDefault="00866592" w:rsidP="00866592">
            <w:pPr>
              <w:rPr>
                <w:rFonts w:ascii="Times New Roman" w:eastAsia="Times New Roman" w:hAnsi="Times New Roman" w:cs="Times New Roman"/>
                <w:b/>
                <w:bCs/>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5139FA9" w14:textId="77777777" w:rsidR="00866592" w:rsidRPr="00866592" w:rsidRDefault="00866592" w:rsidP="00866592">
            <w:pPr>
              <w:rPr>
                <w:rFonts w:ascii="Times New Roman" w:hAnsi="Times New Roman" w:cs="Times New Roman"/>
                <w:lang w:eastAsia="da-DK"/>
              </w:rPr>
            </w:pPr>
            <w:r w:rsidRPr="00866592">
              <w:rPr>
                <w:rFonts w:ascii="Times New Roman" w:hAnsi="Times New Roman" w:cs="Times New Roman"/>
                <w:lang w:eastAsia="da-DK"/>
              </w:rPr>
              <w:t>Udsagn fra ikke-deltager om deltager, fx nazister om jøder.</w:t>
            </w:r>
          </w:p>
          <w:p w14:paraId="5CE0BBC8" w14:textId="77777777" w:rsidR="00866592" w:rsidRPr="00866592" w:rsidRDefault="00866592" w:rsidP="00866592">
            <w:pPr>
              <w:spacing w:before="120"/>
              <w:rPr>
                <w:rFonts w:ascii="Times New Roman" w:hAnsi="Times New Roman" w:cs="Times New Roman"/>
                <w:lang w:eastAsia="da-DK"/>
              </w:rPr>
            </w:pPr>
            <w:r w:rsidRPr="00866592">
              <w:rPr>
                <w:rFonts w:ascii="Times New Roman" w:hAnsi="Times New Roman" w:cs="Times New Roman"/>
                <w:lang w:eastAsia="da-DK"/>
              </w:rPr>
              <w:t>Udsagn fra tidligere medlemmer af en religiøs gruppe, fx Jehovas Vidner.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490D9FF" w14:textId="77777777" w:rsidR="00866592" w:rsidRPr="00866592" w:rsidRDefault="00866592" w:rsidP="00866592">
            <w:pPr>
              <w:rPr>
                <w:rFonts w:ascii="Times New Roman" w:eastAsia="Times New Roman" w:hAnsi="Times New Roman" w:cs="Times New Roman"/>
                <w:lang w:eastAsia="da-DK"/>
              </w:rPr>
            </w:pPr>
            <w:r w:rsidRPr="00866592">
              <w:rPr>
                <w:rFonts w:ascii="Times New Roman" w:eastAsia="Times New Roman" w:hAnsi="Times New Roman" w:cs="Times New Roman"/>
                <w:lang w:eastAsia="da-DK"/>
              </w:rPr>
              <w:t>Videnskabelige, analyserende artikler om en religion.</w:t>
            </w:r>
          </w:p>
        </w:tc>
      </w:tr>
      <w:tr w:rsidR="00866592" w:rsidRPr="00866592" w14:paraId="5DA99027" w14:textId="77777777" w:rsidTr="00866592">
        <w:trPr>
          <w:trHeight w:val="462"/>
        </w:trPr>
        <w:tc>
          <w:tcPr>
            <w:tcW w:w="0" w:type="auto"/>
            <w:tcBorders>
              <w:top w:val="single" w:sz="6" w:space="0" w:color="DBDBDB"/>
              <w:left w:val="single" w:sz="6" w:space="0" w:color="DBDBDB"/>
              <w:bottom w:val="single" w:sz="6" w:space="0" w:color="DBDBDB"/>
              <w:right w:val="single" w:sz="6" w:space="0" w:color="DBDBDB"/>
            </w:tcBorders>
            <w:shd w:val="clear" w:color="auto" w:fill="E9D261"/>
            <w:tcMar>
              <w:top w:w="120" w:type="dxa"/>
              <w:left w:w="120" w:type="dxa"/>
              <w:bottom w:w="120" w:type="dxa"/>
              <w:right w:w="120" w:type="dxa"/>
            </w:tcMar>
            <w:hideMark/>
          </w:tcPr>
          <w:p w14:paraId="2F097ED6" w14:textId="77777777" w:rsidR="00866592" w:rsidRPr="00866592" w:rsidRDefault="00866592" w:rsidP="00866592">
            <w:pPr>
              <w:rPr>
                <w:rFonts w:ascii="Times New Roman" w:eastAsia="Times New Roman" w:hAnsi="Times New Roman" w:cs="Times New Roman"/>
                <w:b/>
                <w:bCs/>
                <w:lang w:eastAsia="da-DK"/>
              </w:rPr>
            </w:pPr>
            <w:r w:rsidRPr="00866592">
              <w:rPr>
                <w:rFonts w:ascii="Times New Roman" w:eastAsia="Times New Roman" w:hAnsi="Times New Roman" w:cs="Times New Roman"/>
                <w:b/>
                <w:bCs/>
                <w:lang w:eastAsia="da-DK"/>
              </w:rPr>
              <w:t>Indefra</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A53AD63" w14:textId="77777777" w:rsidR="00866592" w:rsidRPr="00866592" w:rsidRDefault="00866592" w:rsidP="00866592">
            <w:pPr>
              <w:rPr>
                <w:rFonts w:ascii="Times New Roman" w:eastAsia="Times New Roman" w:hAnsi="Times New Roman" w:cs="Times New Roman"/>
                <w:lang w:eastAsia="da-DK"/>
              </w:rPr>
            </w:pPr>
            <w:r w:rsidRPr="00866592">
              <w:rPr>
                <w:rFonts w:ascii="Times New Roman" w:eastAsia="Times New Roman" w:hAnsi="Times New Roman" w:cs="Times New Roman"/>
                <w:lang w:eastAsia="da-DK"/>
              </w:rPr>
              <w:t>Positive udsagn, fx prædikener, missionsarbejde, debatartikler.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72F7A0C" w14:textId="77777777" w:rsidR="00866592" w:rsidRPr="00866592" w:rsidRDefault="00866592" w:rsidP="00866592">
            <w:pPr>
              <w:rPr>
                <w:rFonts w:ascii="Times New Roman" w:eastAsia="Times New Roman" w:hAnsi="Times New Roman" w:cs="Times New Roman"/>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369D1FD" w14:textId="77777777" w:rsidR="00866592" w:rsidRPr="00866592" w:rsidRDefault="00866592" w:rsidP="00866592">
            <w:pPr>
              <w:rPr>
                <w:rFonts w:ascii="Times New Roman" w:eastAsia="Times New Roman" w:hAnsi="Times New Roman" w:cs="Times New Roman"/>
                <w:sz w:val="20"/>
                <w:szCs w:val="20"/>
                <w:lang w:eastAsia="da-DK"/>
              </w:rPr>
            </w:pPr>
          </w:p>
        </w:tc>
      </w:tr>
    </w:tbl>
    <w:p w14:paraId="4D0C1FAE" w14:textId="77777777" w:rsidR="00866592" w:rsidRDefault="00866592" w:rsidP="00866592">
      <w:pPr>
        <w:ind w:right="195"/>
        <w:outlineLvl w:val="0"/>
        <w:rPr>
          <w:rFonts w:ascii="Arial" w:hAnsi="Arial" w:cs="Arial"/>
          <w:color w:val="333333"/>
          <w:sz w:val="19"/>
          <w:szCs w:val="19"/>
          <w:lang w:eastAsia="da-DK"/>
        </w:rPr>
      </w:pPr>
    </w:p>
    <w:p w14:paraId="6528252F" w14:textId="77777777" w:rsidR="00866592" w:rsidRDefault="00866592" w:rsidP="00866592">
      <w:pPr>
        <w:spacing w:after="240"/>
        <w:rPr>
          <w:rFonts w:ascii="Arial" w:hAnsi="Arial" w:cs="Arial"/>
          <w:color w:val="333333"/>
          <w:sz w:val="19"/>
          <w:szCs w:val="19"/>
          <w:lang w:eastAsia="da-DK"/>
        </w:rPr>
      </w:pPr>
      <w:r w:rsidRPr="00866592">
        <w:rPr>
          <w:rFonts w:ascii="Arial" w:hAnsi="Arial" w:cs="Arial"/>
          <w:color w:val="333333"/>
          <w:sz w:val="19"/>
          <w:szCs w:val="19"/>
          <w:lang w:eastAsia="da-DK"/>
        </w:rPr>
        <w:t>I 2013 var der en meget interessant debat, efter at Reza Aslan, som er religionshistoriker, udgav bogen </w:t>
      </w:r>
      <w:proofErr w:type="spellStart"/>
      <w:r w:rsidRPr="00866592">
        <w:rPr>
          <w:rFonts w:ascii="Arial" w:hAnsi="Arial" w:cs="Arial"/>
          <w:i/>
          <w:iCs/>
          <w:color w:val="333333"/>
          <w:sz w:val="19"/>
          <w:szCs w:val="19"/>
          <w:lang w:eastAsia="da-DK"/>
        </w:rPr>
        <w:t>Zealot</w:t>
      </w:r>
      <w:proofErr w:type="spellEnd"/>
      <w:r w:rsidRPr="00866592">
        <w:rPr>
          <w:rFonts w:ascii="Arial" w:hAnsi="Arial" w:cs="Arial"/>
          <w:i/>
          <w:iCs/>
          <w:color w:val="333333"/>
          <w:sz w:val="19"/>
          <w:szCs w:val="19"/>
          <w:lang w:eastAsia="da-DK"/>
        </w:rPr>
        <w:t xml:space="preserve">: The </w:t>
      </w:r>
      <w:proofErr w:type="spellStart"/>
      <w:r w:rsidRPr="00866592">
        <w:rPr>
          <w:rFonts w:ascii="Arial" w:hAnsi="Arial" w:cs="Arial"/>
          <w:i/>
          <w:iCs/>
          <w:color w:val="333333"/>
          <w:sz w:val="19"/>
          <w:szCs w:val="19"/>
          <w:lang w:eastAsia="da-DK"/>
        </w:rPr>
        <w:t>life</w:t>
      </w:r>
      <w:proofErr w:type="spellEnd"/>
      <w:r w:rsidRPr="00866592">
        <w:rPr>
          <w:rFonts w:ascii="Arial" w:hAnsi="Arial" w:cs="Arial"/>
          <w:i/>
          <w:iCs/>
          <w:color w:val="333333"/>
          <w:sz w:val="19"/>
          <w:szCs w:val="19"/>
          <w:lang w:eastAsia="da-DK"/>
        </w:rPr>
        <w:t xml:space="preserve"> and times of Jesus of </w:t>
      </w:r>
      <w:proofErr w:type="spellStart"/>
      <w:r w:rsidRPr="00866592">
        <w:rPr>
          <w:rFonts w:ascii="Arial" w:hAnsi="Arial" w:cs="Arial"/>
          <w:i/>
          <w:iCs/>
          <w:color w:val="333333"/>
          <w:sz w:val="19"/>
          <w:szCs w:val="19"/>
          <w:lang w:eastAsia="da-DK"/>
        </w:rPr>
        <w:t>Nazareth</w:t>
      </w:r>
      <w:proofErr w:type="spellEnd"/>
      <w:r w:rsidRPr="00866592">
        <w:rPr>
          <w:rFonts w:ascii="Arial" w:hAnsi="Arial" w:cs="Arial"/>
          <w:color w:val="333333"/>
          <w:sz w:val="19"/>
          <w:szCs w:val="19"/>
          <w:lang w:eastAsia="da-DK"/>
        </w:rPr>
        <w:t>. Bogen vakte stor opstandelse. Ikke fordi hans forskning bragte noget nyt, men fordi den var skrevet af en muslim. Diskussionen gik på, om en muslim kunne forholde sig objektivt analyserende til Bibelen. Det kan virke paradoksalt, eftersom mange kristne er islamforskere og udtaler sig om Koranen, uden at det giver anledning til den store debat om indefra- og udefra-synsvinklen. </w:t>
      </w:r>
    </w:p>
    <w:p w14:paraId="50276725" w14:textId="77777777" w:rsidR="00866592" w:rsidRDefault="00866592" w:rsidP="00866592">
      <w:pPr>
        <w:spacing w:after="240"/>
        <w:rPr>
          <w:rFonts w:ascii="Arial" w:hAnsi="Arial" w:cs="Arial"/>
          <w:color w:val="333333"/>
          <w:sz w:val="19"/>
          <w:szCs w:val="19"/>
          <w:lang w:eastAsia="da-DK"/>
        </w:rPr>
      </w:pPr>
      <w:bookmarkStart w:id="0" w:name="_GoBack"/>
      <w:bookmarkEnd w:id="0"/>
    </w:p>
    <w:p w14:paraId="12ACE5F0" w14:textId="77777777" w:rsidR="00866592" w:rsidRDefault="00866592" w:rsidP="00866592">
      <w:pPr>
        <w:spacing w:after="240"/>
        <w:rPr>
          <w:rFonts w:ascii="Arial" w:hAnsi="Arial" w:cs="Arial"/>
          <w:color w:val="333333"/>
          <w:sz w:val="19"/>
          <w:szCs w:val="19"/>
          <w:lang w:eastAsia="da-DK"/>
        </w:rPr>
      </w:pPr>
    </w:p>
    <w:p w14:paraId="0DFDE675" w14:textId="77777777" w:rsidR="00866592" w:rsidRPr="00866592" w:rsidRDefault="00866592" w:rsidP="00866592">
      <w:pPr>
        <w:shd w:val="clear" w:color="auto" w:fill="EFDF8E"/>
        <w:spacing w:before="100" w:beforeAutospacing="1" w:after="195"/>
        <w:outlineLvl w:val="0"/>
        <w:rPr>
          <w:rFonts w:ascii="inherit" w:eastAsia="Times New Roman" w:hAnsi="inherit" w:cs="Arial"/>
          <w:b/>
          <w:bCs/>
          <w:caps/>
          <w:color w:val="333333"/>
          <w:kern w:val="36"/>
          <w:sz w:val="18"/>
          <w:szCs w:val="18"/>
          <w:lang w:eastAsia="da-DK"/>
        </w:rPr>
      </w:pPr>
      <w:r w:rsidRPr="00866592">
        <w:rPr>
          <w:rFonts w:ascii="inherit" w:eastAsia="Times New Roman" w:hAnsi="inherit" w:cs="Arial"/>
          <w:b/>
          <w:bCs/>
          <w:caps/>
          <w:color w:val="333333"/>
          <w:kern w:val="36"/>
          <w:sz w:val="18"/>
          <w:szCs w:val="18"/>
          <w:lang w:eastAsia="da-DK"/>
        </w:rPr>
        <w:t>KORT OM INDEFRA- OG UDEFRA-SYNSVINKEL </w:t>
      </w:r>
    </w:p>
    <w:p w14:paraId="607EC7CE" w14:textId="77777777" w:rsidR="00866592" w:rsidRPr="00866592" w:rsidRDefault="00866592" w:rsidP="00866592">
      <w:pPr>
        <w:numPr>
          <w:ilvl w:val="0"/>
          <w:numId w:val="1"/>
        </w:numPr>
        <w:shd w:val="clear" w:color="auto" w:fill="EFDF8E"/>
        <w:spacing w:after="74"/>
        <w:ind w:left="480"/>
        <w:rPr>
          <w:rFonts w:ascii="Arial" w:eastAsia="Times New Roman" w:hAnsi="Arial" w:cs="Arial"/>
          <w:color w:val="333333"/>
          <w:sz w:val="19"/>
          <w:szCs w:val="19"/>
          <w:lang w:eastAsia="da-DK"/>
        </w:rPr>
      </w:pPr>
      <w:r w:rsidRPr="00866592">
        <w:rPr>
          <w:rFonts w:ascii="Arial" w:eastAsia="Times New Roman" w:hAnsi="Arial" w:cs="Arial"/>
          <w:b/>
          <w:bCs/>
          <w:color w:val="333333"/>
          <w:sz w:val="19"/>
          <w:szCs w:val="19"/>
          <w:lang w:eastAsia="da-DK"/>
        </w:rPr>
        <w:t>Udefra-synsvinkel</w:t>
      </w:r>
      <w:r w:rsidRPr="00866592">
        <w:rPr>
          <w:rFonts w:ascii="Arial" w:eastAsia="Times New Roman" w:hAnsi="Arial" w:cs="Arial"/>
          <w:color w:val="333333"/>
          <w:sz w:val="19"/>
          <w:szCs w:val="19"/>
          <w:lang w:eastAsia="da-DK"/>
        </w:rPr>
        <w:t>: subjektive eller objektive udsagn, som ikke er farvet af livssynet hos den gruppe, der omtales.</w:t>
      </w:r>
    </w:p>
    <w:p w14:paraId="7AC4179A" w14:textId="77777777" w:rsidR="0087388D" w:rsidRPr="00866592" w:rsidRDefault="00866592" w:rsidP="00866592">
      <w:pPr>
        <w:numPr>
          <w:ilvl w:val="0"/>
          <w:numId w:val="1"/>
        </w:numPr>
        <w:shd w:val="clear" w:color="auto" w:fill="EFDF8E"/>
        <w:ind w:left="480"/>
        <w:rPr>
          <w:rFonts w:ascii="Arial" w:eastAsia="Times New Roman" w:hAnsi="Arial" w:cs="Arial"/>
          <w:color w:val="333333"/>
          <w:sz w:val="19"/>
          <w:szCs w:val="19"/>
          <w:lang w:eastAsia="da-DK"/>
        </w:rPr>
      </w:pPr>
      <w:r w:rsidRPr="00866592">
        <w:rPr>
          <w:rFonts w:ascii="Arial" w:eastAsia="Times New Roman" w:hAnsi="Arial" w:cs="Arial"/>
          <w:b/>
          <w:bCs/>
          <w:color w:val="333333"/>
          <w:sz w:val="19"/>
          <w:szCs w:val="19"/>
          <w:lang w:eastAsia="da-DK"/>
        </w:rPr>
        <w:t>Indefra-synsvinkel</w:t>
      </w:r>
      <w:r w:rsidRPr="00866592">
        <w:rPr>
          <w:rFonts w:ascii="Arial" w:eastAsia="Times New Roman" w:hAnsi="Arial" w:cs="Arial"/>
          <w:color w:val="333333"/>
          <w:sz w:val="19"/>
          <w:szCs w:val="19"/>
          <w:lang w:eastAsia="da-DK"/>
        </w:rPr>
        <w:t>: udsagn fra et medlem af et trossamfund.</w:t>
      </w:r>
    </w:p>
    <w:sectPr w:rsidR="0087388D" w:rsidRPr="00866592" w:rsidSect="00316BFE">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F373A" w14:textId="77777777" w:rsidR="00EF53CF" w:rsidRDefault="00EF53CF" w:rsidP="00866592">
      <w:r>
        <w:separator/>
      </w:r>
    </w:p>
  </w:endnote>
  <w:endnote w:type="continuationSeparator" w:id="0">
    <w:p w14:paraId="5C7BCB2D" w14:textId="77777777" w:rsidR="00EF53CF" w:rsidRDefault="00EF53CF" w:rsidP="0086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3CDF" w14:textId="77777777" w:rsidR="00EF53CF" w:rsidRDefault="00EF53CF" w:rsidP="00866592">
      <w:r>
        <w:separator/>
      </w:r>
    </w:p>
  </w:footnote>
  <w:footnote w:type="continuationSeparator" w:id="0">
    <w:p w14:paraId="3BFB0F9A" w14:textId="77777777" w:rsidR="00EF53CF" w:rsidRDefault="00EF53CF" w:rsidP="008665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FDFE" w14:textId="77777777" w:rsidR="00866592" w:rsidRPr="00411F05" w:rsidRDefault="00866592" w:rsidP="00866592">
    <w:pPr>
      <w:pStyle w:val="Sidehoved"/>
      <w:rPr>
        <w:sz w:val="20"/>
        <w:szCs w:val="20"/>
      </w:rPr>
    </w:pPr>
    <w:r>
      <w:rPr>
        <w:sz w:val="20"/>
        <w:szCs w:val="20"/>
      </w:rPr>
      <w:t>Hentet fra onlineudgaven af ”Begrebsnøglen” på systime.dk</w:t>
    </w:r>
  </w:p>
  <w:p w14:paraId="6679A2C8" w14:textId="77777777" w:rsidR="00866592" w:rsidRDefault="00866592" w:rsidP="00866592">
    <w:pPr>
      <w:pStyle w:val="Sidehoved"/>
    </w:pPr>
  </w:p>
  <w:p w14:paraId="6366C49F" w14:textId="77777777" w:rsidR="00866592" w:rsidRDefault="00866592">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12E52"/>
    <w:multiLevelType w:val="multilevel"/>
    <w:tmpl w:val="8062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92"/>
    <w:rsid w:val="00316BFE"/>
    <w:rsid w:val="00866592"/>
    <w:rsid w:val="0087388D"/>
    <w:rsid w:val="00EF53CF"/>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4000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866592"/>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66592"/>
    <w:pPr>
      <w:tabs>
        <w:tab w:val="center" w:pos="4819"/>
        <w:tab w:val="right" w:pos="9638"/>
      </w:tabs>
    </w:pPr>
  </w:style>
  <w:style w:type="character" w:customStyle="1" w:styleId="SidehovedTegn">
    <w:name w:val="Sidehoved Tegn"/>
    <w:basedOn w:val="Standardskrifttypeiafsnit"/>
    <w:link w:val="Sidehoved"/>
    <w:uiPriority w:val="99"/>
    <w:rsid w:val="00866592"/>
  </w:style>
  <w:style w:type="paragraph" w:styleId="Sidefod">
    <w:name w:val="footer"/>
    <w:basedOn w:val="Normal"/>
    <w:link w:val="SidefodTegn"/>
    <w:uiPriority w:val="99"/>
    <w:unhideWhenUsed/>
    <w:rsid w:val="00866592"/>
    <w:pPr>
      <w:tabs>
        <w:tab w:val="center" w:pos="4819"/>
        <w:tab w:val="right" w:pos="9638"/>
      </w:tabs>
    </w:pPr>
  </w:style>
  <w:style w:type="character" w:customStyle="1" w:styleId="SidefodTegn">
    <w:name w:val="Sidefod Tegn"/>
    <w:basedOn w:val="Standardskrifttypeiafsnit"/>
    <w:link w:val="Sidefod"/>
    <w:uiPriority w:val="99"/>
    <w:rsid w:val="00866592"/>
  </w:style>
  <w:style w:type="character" w:customStyle="1" w:styleId="Overskrift1Tegn">
    <w:name w:val="Overskrift 1 Tegn"/>
    <w:basedOn w:val="Standardskrifttypeiafsnit"/>
    <w:link w:val="Overskrift1"/>
    <w:uiPriority w:val="9"/>
    <w:rsid w:val="00866592"/>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866592"/>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866592"/>
  </w:style>
  <w:style w:type="character" w:customStyle="1" w:styleId="index">
    <w:name w:val="index"/>
    <w:basedOn w:val="Standardskrifttypeiafsnit"/>
    <w:rsid w:val="00866592"/>
  </w:style>
  <w:style w:type="character" w:styleId="HTML-citat">
    <w:name w:val="HTML Cite"/>
    <w:basedOn w:val="Standardskrifttypeiafsnit"/>
    <w:uiPriority w:val="99"/>
    <w:semiHidden/>
    <w:unhideWhenUsed/>
    <w:rsid w:val="00866592"/>
    <w:rPr>
      <w:i/>
      <w:iCs/>
    </w:rPr>
  </w:style>
  <w:style w:type="character" w:customStyle="1" w:styleId="label">
    <w:name w:val="label"/>
    <w:basedOn w:val="Standardskrifttypeiafsnit"/>
    <w:rsid w:val="00866592"/>
  </w:style>
  <w:style w:type="character" w:styleId="Strk">
    <w:name w:val="Strong"/>
    <w:basedOn w:val="Standardskrifttypeiafsnit"/>
    <w:uiPriority w:val="22"/>
    <w:qFormat/>
    <w:rsid w:val="00866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57606">
      <w:bodyDiv w:val="1"/>
      <w:marLeft w:val="0"/>
      <w:marRight w:val="0"/>
      <w:marTop w:val="0"/>
      <w:marBottom w:val="0"/>
      <w:divBdr>
        <w:top w:val="none" w:sz="0" w:space="0" w:color="auto"/>
        <w:left w:val="none" w:sz="0" w:space="0" w:color="auto"/>
        <w:bottom w:val="none" w:sz="0" w:space="0" w:color="auto"/>
        <w:right w:val="none" w:sz="0" w:space="0" w:color="auto"/>
      </w:divBdr>
    </w:div>
    <w:div w:id="796531798">
      <w:bodyDiv w:val="1"/>
      <w:marLeft w:val="0"/>
      <w:marRight w:val="0"/>
      <w:marTop w:val="0"/>
      <w:marBottom w:val="0"/>
      <w:divBdr>
        <w:top w:val="none" w:sz="0" w:space="0" w:color="auto"/>
        <w:left w:val="none" w:sz="0" w:space="0" w:color="auto"/>
        <w:bottom w:val="none" w:sz="0" w:space="0" w:color="auto"/>
        <w:right w:val="none" w:sz="0" w:space="0" w:color="auto"/>
      </w:divBdr>
    </w:div>
    <w:div w:id="884174455">
      <w:bodyDiv w:val="1"/>
      <w:marLeft w:val="0"/>
      <w:marRight w:val="0"/>
      <w:marTop w:val="0"/>
      <w:marBottom w:val="0"/>
      <w:divBdr>
        <w:top w:val="none" w:sz="0" w:space="0" w:color="auto"/>
        <w:left w:val="none" w:sz="0" w:space="0" w:color="auto"/>
        <w:bottom w:val="none" w:sz="0" w:space="0" w:color="auto"/>
        <w:right w:val="none" w:sz="0" w:space="0" w:color="auto"/>
      </w:divBdr>
      <w:divsChild>
        <w:div w:id="683242136">
          <w:marLeft w:val="0"/>
          <w:marRight w:val="0"/>
          <w:marTop w:val="0"/>
          <w:marBottom w:val="0"/>
          <w:divBdr>
            <w:top w:val="none" w:sz="0" w:space="0" w:color="auto"/>
            <w:left w:val="none" w:sz="0" w:space="0" w:color="auto"/>
            <w:bottom w:val="none" w:sz="0" w:space="0" w:color="auto"/>
            <w:right w:val="none" w:sz="0" w:space="0" w:color="auto"/>
          </w:divBdr>
        </w:div>
        <w:div w:id="2077319066">
          <w:marLeft w:val="0"/>
          <w:marRight w:val="0"/>
          <w:marTop w:val="0"/>
          <w:marBottom w:val="300"/>
          <w:divBdr>
            <w:top w:val="single" w:sz="6" w:space="0" w:color="EFDF8E"/>
            <w:left w:val="single" w:sz="6" w:space="0" w:color="EFDF8E"/>
            <w:bottom w:val="single" w:sz="6" w:space="0" w:color="EFDF8E"/>
            <w:right w:val="single" w:sz="6" w:space="0" w:color="EFDF8E"/>
          </w:divBdr>
          <w:divsChild>
            <w:div w:id="470831253">
              <w:marLeft w:val="0"/>
              <w:marRight w:val="0"/>
              <w:marTop w:val="0"/>
              <w:marBottom w:val="0"/>
              <w:divBdr>
                <w:top w:val="none" w:sz="0" w:space="0" w:color="auto"/>
                <w:left w:val="none" w:sz="0" w:space="0" w:color="auto"/>
                <w:bottom w:val="none" w:sz="0" w:space="0" w:color="auto"/>
                <w:right w:val="none" w:sz="0" w:space="0" w:color="auto"/>
              </w:divBdr>
              <w:divsChild>
                <w:div w:id="1833107965">
                  <w:marLeft w:val="0"/>
                  <w:marRight w:val="0"/>
                  <w:marTop w:val="0"/>
                  <w:marBottom w:val="0"/>
                  <w:divBdr>
                    <w:top w:val="none" w:sz="0" w:space="0" w:color="auto"/>
                    <w:left w:val="none" w:sz="0" w:space="0" w:color="auto"/>
                    <w:bottom w:val="none" w:sz="0" w:space="0" w:color="auto"/>
                    <w:right w:val="none" w:sz="0" w:space="0" w:color="auto"/>
                  </w:divBdr>
                </w:div>
                <w:div w:id="590118104">
                  <w:marLeft w:val="0"/>
                  <w:marRight w:val="0"/>
                  <w:marTop w:val="0"/>
                  <w:marBottom w:val="240"/>
                  <w:divBdr>
                    <w:top w:val="none" w:sz="0" w:space="0" w:color="auto"/>
                    <w:left w:val="none" w:sz="0" w:space="0" w:color="auto"/>
                    <w:bottom w:val="none" w:sz="0" w:space="0" w:color="auto"/>
                    <w:right w:val="none" w:sz="0" w:space="0" w:color="auto"/>
                  </w:divBdr>
                  <w:divsChild>
                    <w:div w:id="17146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68420">
          <w:marLeft w:val="0"/>
          <w:marRight w:val="0"/>
          <w:marTop w:val="0"/>
          <w:marBottom w:val="0"/>
          <w:divBdr>
            <w:top w:val="none" w:sz="0" w:space="0" w:color="auto"/>
            <w:left w:val="none" w:sz="0" w:space="0" w:color="auto"/>
            <w:bottom w:val="none" w:sz="0" w:space="0" w:color="auto"/>
            <w:right w:val="none" w:sz="0" w:space="0" w:color="auto"/>
          </w:divBdr>
        </w:div>
      </w:divsChild>
    </w:div>
    <w:div w:id="1338918585">
      <w:bodyDiv w:val="1"/>
      <w:marLeft w:val="0"/>
      <w:marRight w:val="0"/>
      <w:marTop w:val="0"/>
      <w:marBottom w:val="0"/>
      <w:divBdr>
        <w:top w:val="none" w:sz="0" w:space="0" w:color="auto"/>
        <w:left w:val="none" w:sz="0" w:space="0" w:color="auto"/>
        <w:bottom w:val="none" w:sz="0" w:space="0" w:color="auto"/>
        <w:right w:val="none" w:sz="0" w:space="0" w:color="auto"/>
      </w:divBdr>
      <w:divsChild>
        <w:div w:id="2189089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2319</Characters>
  <Application>Microsoft Macintosh Word</Application>
  <DocSecurity>0</DocSecurity>
  <Lines>19</Lines>
  <Paragraphs>5</Paragraphs>
  <ScaleCrop>false</ScaleCrop>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2018-09-12T12:48:00Z</dcterms:created>
  <dcterms:modified xsi:type="dcterms:W3CDTF">2018-09-12T12:52:00Z</dcterms:modified>
</cp:coreProperties>
</file>