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1191A" w14:textId="77777777" w:rsidR="00687597" w:rsidRPr="00687597" w:rsidRDefault="00687597" w:rsidP="00687597">
      <w:pPr>
        <w:ind w:right="195"/>
        <w:outlineLvl w:val="0"/>
        <w:rPr>
          <w:rFonts w:ascii="Arial" w:eastAsia="Times New Roman" w:hAnsi="Arial" w:cs="Arial"/>
          <w:color w:val="333333"/>
          <w:kern w:val="36"/>
          <w:sz w:val="35"/>
          <w:szCs w:val="35"/>
          <w:lang w:eastAsia="da-DK"/>
        </w:rPr>
      </w:pPr>
      <w:r w:rsidRPr="00687597">
        <w:rPr>
          <w:rFonts w:ascii="Arial" w:eastAsia="Times New Roman" w:hAnsi="Arial" w:cs="Arial"/>
          <w:color w:val="333333"/>
          <w:kern w:val="36"/>
          <w:sz w:val="35"/>
          <w:szCs w:val="35"/>
          <w:lang w:eastAsia="da-DK"/>
        </w:rPr>
        <w:t>Bjergprædikenen</w:t>
      </w:r>
    </w:p>
    <w:p w14:paraId="0E7CC23B" w14:textId="77777777" w:rsidR="00090E82" w:rsidRDefault="00090E82"/>
    <w:p w14:paraId="6334055B" w14:textId="77777777" w:rsidR="009E674E" w:rsidRDefault="009E674E" w:rsidP="009E674E">
      <w:pPr>
        <w:widowControl w:val="0"/>
        <w:autoSpaceDE w:val="0"/>
        <w:autoSpaceDN w:val="0"/>
        <w:adjustRightInd w:val="0"/>
        <w:rPr>
          <w:rFonts w:ascii="Arial" w:hAnsi="Arial" w:cs="Arial"/>
          <w:color w:val="262626"/>
          <w:sz w:val="19"/>
          <w:szCs w:val="19"/>
        </w:rPr>
      </w:pPr>
      <w:r w:rsidRPr="009E674E">
        <w:rPr>
          <w:rFonts w:ascii="Arial" w:hAnsi="Arial" w:cs="Arial"/>
          <w:color w:val="262626"/>
          <w:sz w:val="19"/>
          <w:szCs w:val="19"/>
        </w:rPr>
        <w:t>Vi har tidligere set, hvordan Jesus med sin person forkynder direkte og uden omsvøb uden brug af skriften som autoritetsgrundlag, idet han henviser til sig selv. Bjergprædikenen er den længste Jesus-prædiken i Det Nye Testamente og for mange kristne i dag også et af de vigtigste skriftsteder. Også her henviser Jesus til sig selv, men i formen bruges mange velkendte jødiske sproglige figurer.</w:t>
      </w:r>
    </w:p>
    <w:p w14:paraId="5DBE6F8A" w14:textId="77777777" w:rsidR="009E674E" w:rsidRPr="009E674E" w:rsidRDefault="009E674E" w:rsidP="009E674E">
      <w:pPr>
        <w:widowControl w:val="0"/>
        <w:autoSpaceDE w:val="0"/>
        <w:autoSpaceDN w:val="0"/>
        <w:adjustRightInd w:val="0"/>
        <w:rPr>
          <w:rFonts w:ascii="Arial" w:hAnsi="Arial" w:cs="Arial"/>
          <w:color w:val="262626"/>
          <w:sz w:val="19"/>
          <w:szCs w:val="19"/>
        </w:rPr>
      </w:pPr>
    </w:p>
    <w:p w14:paraId="6DC9E828" w14:textId="77777777" w:rsidR="009E674E" w:rsidRPr="009E674E" w:rsidRDefault="009E674E" w:rsidP="009E674E">
      <w:pPr>
        <w:widowControl w:val="0"/>
        <w:autoSpaceDE w:val="0"/>
        <w:autoSpaceDN w:val="0"/>
        <w:adjustRightInd w:val="0"/>
        <w:rPr>
          <w:rFonts w:ascii="Arial" w:hAnsi="Arial" w:cs="Arial"/>
          <w:color w:val="262626"/>
          <w:sz w:val="19"/>
          <w:szCs w:val="19"/>
        </w:rPr>
      </w:pPr>
      <w:r w:rsidRPr="009E674E">
        <w:rPr>
          <w:rFonts w:ascii="Arial" w:hAnsi="Arial" w:cs="Arial"/>
          <w:color w:val="262626"/>
          <w:sz w:val="19"/>
          <w:szCs w:val="19"/>
        </w:rPr>
        <w:t>Evangelisten Matthæus, som jo er jødekristen, lader Jesus holde sin prædiken på et bjerg og henviser dermed indirekte til Moses, der i Det Gamle Testamente henter de ti bud netop på et bjerg. Sammenligningen antyder, at der her er en ny pagt på spil, og sådan er det også blevet udlagt i tidens løb. Igen ser vi en kim til provokation overfor farisæerne, men Jesus siger selv tidligt i Bjergprædikenen:</w:t>
      </w:r>
    </w:p>
    <w:p w14:paraId="75DC3D5D" w14:textId="77777777" w:rsidR="009E674E" w:rsidRPr="009E674E" w:rsidRDefault="009E674E" w:rsidP="009E674E">
      <w:pPr>
        <w:widowControl w:val="0"/>
        <w:autoSpaceDE w:val="0"/>
        <w:autoSpaceDN w:val="0"/>
        <w:adjustRightInd w:val="0"/>
        <w:rPr>
          <w:rFonts w:ascii="Arial" w:hAnsi="Arial" w:cs="Arial"/>
          <w:color w:val="262626"/>
          <w:sz w:val="19"/>
          <w:szCs w:val="19"/>
        </w:rPr>
      </w:pPr>
    </w:p>
    <w:p w14:paraId="1D2B1C49" w14:textId="77777777" w:rsidR="009E674E" w:rsidRPr="009E674E" w:rsidRDefault="009E674E" w:rsidP="009E674E">
      <w:pPr>
        <w:widowControl w:val="0"/>
        <w:autoSpaceDE w:val="0"/>
        <w:autoSpaceDN w:val="0"/>
        <w:adjustRightInd w:val="0"/>
        <w:rPr>
          <w:rFonts w:ascii="Arial" w:hAnsi="Arial" w:cs="Arial"/>
          <w:color w:val="9A9A9A"/>
          <w:sz w:val="19"/>
          <w:szCs w:val="19"/>
        </w:rPr>
      </w:pPr>
    </w:p>
    <w:p w14:paraId="19E8EDF8" w14:textId="77777777" w:rsidR="009E674E" w:rsidRPr="009E674E" w:rsidRDefault="009E674E" w:rsidP="009E674E">
      <w:pPr>
        <w:widowControl w:val="0"/>
        <w:autoSpaceDE w:val="0"/>
        <w:autoSpaceDN w:val="0"/>
        <w:adjustRightInd w:val="0"/>
        <w:ind w:left="597" w:hanging="598"/>
        <w:rPr>
          <w:rFonts w:ascii="Arial" w:hAnsi="Arial" w:cs="Arial"/>
          <w:color w:val="262626"/>
          <w:sz w:val="19"/>
          <w:szCs w:val="19"/>
        </w:rPr>
      </w:pPr>
      <w:r w:rsidRPr="009E674E">
        <w:rPr>
          <w:rFonts w:ascii="Arial" w:hAnsi="Arial" w:cs="Arial"/>
          <w:color w:val="A0111A"/>
          <w:sz w:val="19"/>
          <w:szCs w:val="19"/>
        </w:rPr>
        <w:t>v. 19</w:t>
      </w:r>
      <w:r w:rsidRPr="009E674E">
        <w:rPr>
          <w:rFonts w:ascii="Arial" w:hAnsi="Arial" w:cs="Arial"/>
          <w:color w:val="262626"/>
          <w:sz w:val="19"/>
          <w:szCs w:val="19"/>
        </w:rPr>
        <w:t xml:space="preserve"> Den, der bryder blot ét af de mindste bud og lærer mennesker at gøre det samme, skal kaldes den mindste i Himmeriget. Men den, der holder det og lærer andre at gøre det, skal kaldes stor i Himmeriget. v</w:t>
      </w:r>
      <w:r w:rsidRPr="009E674E">
        <w:rPr>
          <w:rFonts w:ascii="Arial" w:hAnsi="Arial" w:cs="Arial"/>
          <w:color w:val="A0111A"/>
          <w:sz w:val="19"/>
          <w:szCs w:val="19"/>
        </w:rPr>
        <w:t>. 20</w:t>
      </w:r>
      <w:r w:rsidRPr="009E674E">
        <w:rPr>
          <w:rFonts w:ascii="Arial" w:hAnsi="Arial" w:cs="Arial"/>
          <w:color w:val="262626"/>
          <w:sz w:val="19"/>
          <w:szCs w:val="19"/>
        </w:rPr>
        <w:t xml:space="preserve"> For jeg siger jer: Hvis jeres retfærdighed ikke langt overgår de skriftkloges og farisæernes, kommer I slet ikke ind i Himmeriget.</w:t>
      </w:r>
    </w:p>
    <w:p w14:paraId="17FE0795" w14:textId="77777777" w:rsidR="009E674E" w:rsidRPr="009E674E" w:rsidRDefault="009E674E" w:rsidP="009E674E">
      <w:pPr>
        <w:widowControl w:val="0"/>
        <w:autoSpaceDE w:val="0"/>
        <w:autoSpaceDN w:val="0"/>
        <w:adjustRightInd w:val="0"/>
        <w:ind w:firstLine="597"/>
        <w:rPr>
          <w:rFonts w:ascii="Arial" w:hAnsi="Arial" w:cs="Arial"/>
          <w:color w:val="ADADAD"/>
          <w:sz w:val="15"/>
          <w:szCs w:val="15"/>
        </w:rPr>
      </w:pPr>
      <w:r w:rsidRPr="009E674E">
        <w:rPr>
          <w:rFonts w:ascii="Arial" w:hAnsi="Arial" w:cs="Arial"/>
          <w:color w:val="ADADAD"/>
          <w:sz w:val="15"/>
          <w:szCs w:val="15"/>
        </w:rPr>
        <w:t>Matthæusevangeliet kap. 5, v. 19-20</w:t>
      </w:r>
    </w:p>
    <w:p w14:paraId="0775935C" w14:textId="77777777" w:rsidR="009E674E" w:rsidRPr="009E674E" w:rsidRDefault="009E674E" w:rsidP="009E674E">
      <w:pPr>
        <w:widowControl w:val="0"/>
        <w:autoSpaceDE w:val="0"/>
        <w:autoSpaceDN w:val="0"/>
        <w:adjustRightInd w:val="0"/>
        <w:rPr>
          <w:rFonts w:ascii="Arial" w:hAnsi="Arial" w:cs="Arial"/>
          <w:color w:val="9A9A9A"/>
          <w:sz w:val="19"/>
          <w:szCs w:val="19"/>
        </w:rPr>
      </w:pPr>
    </w:p>
    <w:p w14:paraId="44A2D4B0" w14:textId="77777777" w:rsidR="009E674E" w:rsidRPr="009E674E" w:rsidRDefault="009E674E" w:rsidP="009E674E">
      <w:pPr>
        <w:widowControl w:val="0"/>
        <w:autoSpaceDE w:val="0"/>
        <w:autoSpaceDN w:val="0"/>
        <w:adjustRightInd w:val="0"/>
        <w:rPr>
          <w:rFonts w:ascii="Arial" w:hAnsi="Arial" w:cs="Arial"/>
          <w:color w:val="262626"/>
          <w:sz w:val="19"/>
          <w:szCs w:val="19"/>
        </w:rPr>
      </w:pPr>
      <w:r w:rsidRPr="009E674E">
        <w:rPr>
          <w:rFonts w:ascii="Arial" w:hAnsi="Arial" w:cs="Arial"/>
          <w:color w:val="262626"/>
          <w:sz w:val="19"/>
          <w:szCs w:val="19"/>
        </w:rPr>
        <w:t>Man kan måske overraskes over indholdet af disse to vers fra Bjergprædikenen, men det er vigtigt at forstå, at Jesus ikke angreb indholdet af den jødiske lov, men derimod den måde, hvorpå loven var blevet tolket af farisæerne. I Jesus' angreb på farisæerne er loven selv blevet frelsemiddel, hvorved Gud som frelser selv fuldstændigt er forsvundet. Når Jesus taler om loven, taler han om loven som udtryk for Guds kærlighed til mennesket, og det betyder, at de rituelle bud tilsidesættes. Buddene kommer da til at omhandle menneskelivet, som Jesus så til gengæld radikaliserer. Det gør han i de 6 antiteser i begyndelsen af Bjergprædikenen. Her er den første:</w:t>
      </w:r>
    </w:p>
    <w:p w14:paraId="35C63A7B" w14:textId="77777777" w:rsidR="009E674E" w:rsidRPr="009E674E" w:rsidRDefault="009E674E" w:rsidP="009E674E">
      <w:pPr>
        <w:widowControl w:val="0"/>
        <w:autoSpaceDE w:val="0"/>
        <w:autoSpaceDN w:val="0"/>
        <w:adjustRightInd w:val="0"/>
        <w:rPr>
          <w:rFonts w:ascii="Arial" w:hAnsi="Arial" w:cs="Arial"/>
          <w:color w:val="9A9A9A"/>
          <w:sz w:val="19"/>
          <w:szCs w:val="19"/>
        </w:rPr>
      </w:pPr>
    </w:p>
    <w:p w14:paraId="10BE52A9" w14:textId="77777777" w:rsidR="009E674E" w:rsidRPr="009E674E" w:rsidRDefault="009E674E" w:rsidP="009E674E">
      <w:pPr>
        <w:widowControl w:val="0"/>
        <w:autoSpaceDE w:val="0"/>
        <w:autoSpaceDN w:val="0"/>
        <w:adjustRightInd w:val="0"/>
        <w:ind w:left="597" w:hanging="598"/>
        <w:rPr>
          <w:rFonts w:ascii="Arial" w:hAnsi="Arial" w:cs="Arial"/>
          <w:color w:val="262626"/>
          <w:sz w:val="19"/>
          <w:szCs w:val="19"/>
        </w:rPr>
      </w:pPr>
      <w:r w:rsidRPr="009E674E">
        <w:rPr>
          <w:rFonts w:ascii="Arial" w:hAnsi="Arial" w:cs="Arial"/>
          <w:color w:val="A0111A"/>
          <w:sz w:val="19"/>
          <w:szCs w:val="19"/>
        </w:rPr>
        <w:t>v21</w:t>
      </w:r>
      <w:r w:rsidRPr="009E674E">
        <w:rPr>
          <w:rFonts w:ascii="Arial" w:hAnsi="Arial" w:cs="Arial"/>
          <w:color w:val="262626"/>
          <w:sz w:val="19"/>
          <w:szCs w:val="19"/>
        </w:rPr>
        <w:t xml:space="preserve"> I har hørt, at der er sagt til de gamle: “Du må ikke begå drab”, og: “Den, der begår drab, skal kendes skyldig af domstolen”. </w:t>
      </w:r>
      <w:r w:rsidRPr="009E674E">
        <w:rPr>
          <w:rFonts w:ascii="Arial" w:hAnsi="Arial" w:cs="Arial"/>
          <w:color w:val="A0111A"/>
          <w:sz w:val="19"/>
          <w:szCs w:val="19"/>
        </w:rPr>
        <w:t>v22</w:t>
      </w:r>
      <w:r w:rsidRPr="009E674E">
        <w:rPr>
          <w:rFonts w:ascii="Arial" w:hAnsi="Arial" w:cs="Arial"/>
          <w:color w:val="262626"/>
          <w:sz w:val="19"/>
          <w:szCs w:val="19"/>
        </w:rPr>
        <w:t xml:space="preserve"> Men jeg siger jer: Enhver, som bliver vred på sin broder, skal kendes skyldig af domstolen;</w:t>
      </w:r>
    </w:p>
    <w:p w14:paraId="7075C5EE" w14:textId="77777777" w:rsidR="009E674E" w:rsidRPr="009E674E" w:rsidRDefault="009E674E" w:rsidP="009E674E">
      <w:pPr>
        <w:widowControl w:val="0"/>
        <w:autoSpaceDE w:val="0"/>
        <w:autoSpaceDN w:val="0"/>
        <w:adjustRightInd w:val="0"/>
        <w:ind w:firstLine="597"/>
        <w:rPr>
          <w:rFonts w:ascii="Arial" w:hAnsi="Arial" w:cs="Arial"/>
          <w:color w:val="ADADAD"/>
          <w:sz w:val="15"/>
          <w:szCs w:val="15"/>
        </w:rPr>
      </w:pPr>
      <w:r w:rsidRPr="009E674E">
        <w:rPr>
          <w:rFonts w:ascii="Arial" w:hAnsi="Arial" w:cs="Arial"/>
          <w:color w:val="ADADAD"/>
          <w:sz w:val="15"/>
          <w:szCs w:val="15"/>
        </w:rPr>
        <w:t>Matthæusevangeliet kap. 5, v. 21-22</w:t>
      </w:r>
    </w:p>
    <w:p w14:paraId="71371F90" w14:textId="77777777" w:rsidR="009E674E" w:rsidRPr="009E674E" w:rsidRDefault="009E674E" w:rsidP="009E674E">
      <w:pPr>
        <w:widowControl w:val="0"/>
        <w:autoSpaceDE w:val="0"/>
        <w:autoSpaceDN w:val="0"/>
        <w:adjustRightInd w:val="0"/>
        <w:rPr>
          <w:rFonts w:ascii="Arial" w:hAnsi="Arial" w:cs="Arial"/>
          <w:color w:val="9A9A9A"/>
          <w:sz w:val="19"/>
          <w:szCs w:val="19"/>
        </w:rPr>
      </w:pPr>
    </w:p>
    <w:p w14:paraId="6AC2CAED" w14:textId="77777777" w:rsidR="009E674E" w:rsidRDefault="009E674E" w:rsidP="009E674E">
      <w:pPr>
        <w:widowControl w:val="0"/>
        <w:autoSpaceDE w:val="0"/>
        <w:autoSpaceDN w:val="0"/>
        <w:adjustRightInd w:val="0"/>
        <w:rPr>
          <w:rFonts w:ascii="Arial" w:hAnsi="Arial" w:cs="Arial"/>
          <w:color w:val="262626"/>
          <w:sz w:val="19"/>
          <w:szCs w:val="19"/>
        </w:rPr>
      </w:pPr>
    </w:p>
    <w:p w14:paraId="4DEFCA6D" w14:textId="77777777" w:rsidR="009E674E" w:rsidRDefault="009E674E" w:rsidP="009E674E">
      <w:pPr>
        <w:widowControl w:val="0"/>
        <w:autoSpaceDE w:val="0"/>
        <w:autoSpaceDN w:val="0"/>
        <w:adjustRightInd w:val="0"/>
        <w:rPr>
          <w:rFonts w:ascii="Arial" w:hAnsi="Arial" w:cs="Arial"/>
          <w:color w:val="262626"/>
          <w:sz w:val="19"/>
          <w:szCs w:val="19"/>
        </w:rPr>
      </w:pPr>
      <w:r w:rsidRPr="009E674E">
        <w:rPr>
          <w:rFonts w:ascii="Arial" w:hAnsi="Arial" w:cs="Arial"/>
          <w:color w:val="262626"/>
          <w:sz w:val="19"/>
          <w:szCs w:val="19"/>
        </w:rPr>
        <w:t>Tesen er en befaling fra Moseloven – de gamles – og kommer først. Herefter følger antitesen, som er Jesus' egen tydning af sagen: Han henviser til sig selv. Vi lægger mærke til flere ting:</w:t>
      </w:r>
    </w:p>
    <w:p w14:paraId="033599C2" w14:textId="77777777" w:rsidR="009E674E" w:rsidRPr="009E674E" w:rsidRDefault="009E674E" w:rsidP="009E674E">
      <w:pPr>
        <w:widowControl w:val="0"/>
        <w:autoSpaceDE w:val="0"/>
        <w:autoSpaceDN w:val="0"/>
        <w:adjustRightInd w:val="0"/>
        <w:rPr>
          <w:rFonts w:ascii="Arial" w:hAnsi="Arial" w:cs="Arial"/>
          <w:color w:val="262626"/>
          <w:sz w:val="19"/>
          <w:szCs w:val="19"/>
        </w:rPr>
      </w:pPr>
    </w:p>
    <w:p w14:paraId="3A585901" w14:textId="77777777" w:rsidR="009E674E" w:rsidRPr="009E674E" w:rsidRDefault="009E674E" w:rsidP="009E674E">
      <w:pPr>
        <w:widowControl w:val="0"/>
        <w:numPr>
          <w:ilvl w:val="0"/>
          <w:numId w:val="1"/>
        </w:numPr>
        <w:tabs>
          <w:tab w:val="left" w:pos="220"/>
          <w:tab w:val="left" w:pos="720"/>
        </w:tabs>
        <w:autoSpaceDE w:val="0"/>
        <w:autoSpaceDN w:val="0"/>
        <w:adjustRightInd w:val="0"/>
        <w:ind w:hanging="720"/>
        <w:rPr>
          <w:rFonts w:ascii="Arial" w:hAnsi="Arial" w:cs="Arial"/>
          <w:color w:val="262626"/>
          <w:sz w:val="19"/>
          <w:szCs w:val="19"/>
        </w:rPr>
      </w:pPr>
      <w:r w:rsidRPr="009E674E">
        <w:rPr>
          <w:rFonts w:ascii="Arial" w:hAnsi="Arial" w:cs="Arial"/>
          <w:color w:val="262626"/>
          <w:sz w:val="19"/>
          <w:szCs w:val="19"/>
        </w:rPr>
        <w:t>Jesus radikaliserer og skærper kravene. Det er nemmere at handle syndfrit end at tænke syndfrit.</w:t>
      </w:r>
    </w:p>
    <w:p w14:paraId="6A5B57AD" w14:textId="77777777" w:rsidR="009E674E" w:rsidRPr="009E674E" w:rsidRDefault="009E674E" w:rsidP="009E674E">
      <w:pPr>
        <w:widowControl w:val="0"/>
        <w:numPr>
          <w:ilvl w:val="0"/>
          <w:numId w:val="1"/>
        </w:numPr>
        <w:tabs>
          <w:tab w:val="left" w:pos="220"/>
          <w:tab w:val="left" w:pos="720"/>
        </w:tabs>
        <w:autoSpaceDE w:val="0"/>
        <w:autoSpaceDN w:val="0"/>
        <w:adjustRightInd w:val="0"/>
        <w:ind w:hanging="720"/>
        <w:rPr>
          <w:rFonts w:ascii="Arial" w:hAnsi="Arial" w:cs="Arial"/>
          <w:color w:val="262626"/>
          <w:sz w:val="19"/>
          <w:szCs w:val="19"/>
        </w:rPr>
      </w:pPr>
      <w:r w:rsidRPr="009E674E">
        <w:rPr>
          <w:rFonts w:ascii="Arial" w:hAnsi="Arial" w:cs="Arial"/>
          <w:color w:val="262626"/>
          <w:sz w:val="19"/>
          <w:szCs w:val="19"/>
        </w:rPr>
        <w:t>Jesus psykologiserer buddene, idet de omhandler indre processer og ikke ydre handlinger.</w:t>
      </w:r>
    </w:p>
    <w:p w14:paraId="4D3F704C" w14:textId="77777777" w:rsidR="009E674E" w:rsidRPr="009E674E" w:rsidRDefault="009E674E" w:rsidP="009E674E">
      <w:pPr>
        <w:widowControl w:val="0"/>
        <w:numPr>
          <w:ilvl w:val="0"/>
          <w:numId w:val="1"/>
        </w:numPr>
        <w:tabs>
          <w:tab w:val="left" w:pos="220"/>
          <w:tab w:val="left" w:pos="720"/>
        </w:tabs>
        <w:autoSpaceDE w:val="0"/>
        <w:autoSpaceDN w:val="0"/>
        <w:adjustRightInd w:val="0"/>
        <w:ind w:hanging="720"/>
        <w:rPr>
          <w:rFonts w:ascii="Arial" w:hAnsi="Arial" w:cs="Arial"/>
          <w:color w:val="262626"/>
          <w:sz w:val="19"/>
          <w:szCs w:val="19"/>
        </w:rPr>
      </w:pPr>
      <w:r w:rsidRPr="009E674E">
        <w:rPr>
          <w:rFonts w:ascii="Arial" w:hAnsi="Arial" w:cs="Arial"/>
          <w:color w:val="262626"/>
          <w:sz w:val="19"/>
          <w:szCs w:val="19"/>
        </w:rPr>
        <w:t>Jesus vægter hensigten eller intentionen eller sindelaget lige så højt, og måske højere, end det jødiske fokus på resultatet af handlingen.</w:t>
      </w:r>
    </w:p>
    <w:p w14:paraId="15C3F565" w14:textId="77777777" w:rsidR="009E674E" w:rsidRPr="009E674E" w:rsidRDefault="009E674E" w:rsidP="009E674E">
      <w:pPr>
        <w:widowControl w:val="0"/>
        <w:numPr>
          <w:ilvl w:val="0"/>
          <w:numId w:val="1"/>
        </w:numPr>
        <w:tabs>
          <w:tab w:val="left" w:pos="220"/>
          <w:tab w:val="left" w:pos="720"/>
        </w:tabs>
        <w:autoSpaceDE w:val="0"/>
        <w:autoSpaceDN w:val="0"/>
        <w:adjustRightInd w:val="0"/>
        <w:ind w:hanging="720"/>
        <w:rPr>
          <w:rFonts w:ascii="Arial" w:hAnsi="Arial" w:cs="Arial"/>
          <w:color w:val="262626"/>
          <w:sz w:val="19"/>
          <w:szCs w:val="19"/>
        </w:rPr>
      </w:pPr>
      <w:r w:rsidRPr="009E674E">
        <w:rPr>
          <w:rFonts w:ascii="Arial" w:hAnsi="Arial" w:cs="Arial"/>
          <w:color w:val="262626"/>
          <w:sz w:val="19"/>
          <w:szCs w:val="19"/>
        </w:rPr>
        <w:t>Selve buddene forandres ikke. Jesus fortolker dem blot anderledes – nemlig som udtryk for kærlighed.</w:t>
      </w:r>
    </w:p>
    <w:p w14:paraId="19A9D8BE" w14:textId="77777777" w:rsidR="00687597" w:rsidRPr="009E674E" w:rsidRDefault="009E674E" w:rsidP="009E674E">
      <w:pPr>
        <w:rPr>
          <w:sz w:val="19"/>
          <w:szCs w:val="19"/>
        </w:rPr>
      </w:pPr>
      <w:r>
        <w:rPr>
          <w:rFonts w:ascii="Arial" w:hAnsi="Arial" w:cs="Arial"/>
          <w:color w:val="262626"/>
          <w:sz w:val="19"/>
          <w:szCs w:val="19"/>
        </w:rPr>
        <w:t xml:space="preserve">5  </w:t>
      </w:r>
      <w:r w:rsidRPr="009E674E">
        <w:rPr>
          <w:rFonts w:ascii="Arial" w:hAnsi="Arial" w:cs="Arial"/>
          <w:color w:val="262626"/>
          <w:sz w:val="19"/>
          <w:szCs w:val="19"/>
        </w:rPr>
        <w:t>Mens den farisæiske lov har mange konkrete (613) bud, som supplerer pagts-stoffet fra Det Gamle Testamente, bliver Jesus' etik en situations-etik. Menneskets frie valg og ansvar i situationen bliver derved betonet.</w:t>
      </w:r>
      <w:bookmarkStart w:id="0" w:name="_GoBack"/>
      <w:bookmarkEnd w:id="0"/>
    </w:p>
    <w:sectPr w:rsidR="00687597" w:rsidRPr="009E674E" w:rsidSect="00316BFE">
      <w:headerReference w:type="default" r:id="rId7"/>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8E81A" w14:textId="77777777" w:rsidR="00233C11" w:rsidRDefault="00233C11" w:rsidP="00687597">
      <w:r>
        <w:separator/>
      </w:r>
    </w:p>
  </w:endnote>
  <w:endnote w:type="continuationSeparator" w:id="0">
    <w:p w14:paraId="4FF97490" w14:textId="77777777" w:rsidR="00233C11" w:rsidRDefault="00233C11" w:rsidP="0068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2B459" w14:textId="77777777" w:rsidR="009E674E" w:rsidRDefault="009E674E" w:rsidP="0010501F">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F3D97C5" w14:textId="77777777" w:rsidR="009E674E" w:rsidRDefault="009E674E" w:rsidP="009E674E">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3A2B" w14:textId="77777777" w:rsidR="009E674E" w:rsidRDefault="009E674E" w:rsidP="0010501F">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33C11">
      <w:rPr>
        <w:rStyle w:val="Sidetal"/>
        <w:noProof/>
      </w:rPr>
      <w:t>1</w:t>
    </w:r>
    <w:r>
      <w:rPr>
        <w:rStyle w:val="Sidetal"/>
      </w:rPr>
      <w:fldChar w:fldCharType="end"/>
    </w:r>
  </w:p>
  <w:p w14:paraId="2CB68A32" w14:textId="77777777" w:rsidR="009E674E" w:rsidRDefault="009E674E" w:rsidP="009E674E">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4863F" w14:textId="77777777" w:rsidR="00233C11" w:rsidRDefault="00233C11" w:rsidP="00687597">
      <w:r>
        <w:separator/>
      </w:r>
    </w:p>
  </w:footnote>
  <w:footnote w:type="continuationSeparator" w:id="0">
    <w:p w14:paraId="7954DBCE" w14:textId="77777777" w:rsidR="00233C11" w:rsidRDefault="00233C11" w:rsidP="006875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93DA9" w14:textId="77777777" w:rsidR="00687597" w:rsidRPr="00903153" w:rsidRDefault="00687597" w:rsidP="00687597">
    <w:pPr>
      <w:pStyle w:val="Sidehoved"/>
      <w:rPr>
        <w:sz w:val="20"/>
        <w:szCs w:val="20"/>
      </w:rPr>
    </w:pPr>
    <w:r>
      <w:rPr>
        <w:sz w:val="20"/>
        <w:szCs w:val="20"/>
      </w:rPr>
      <w:t>Hentet fra onlineudgaven af ”Kristendom – tro og praksis” på systime.dk</w:t>
    </w:r>
  </w:p>
  <w:p w14:paraId="3A1F60F3" w14:textId="77777777" w:rsidR="00687597" w:rsidRDefault="00687597">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97"/>
    <w:rsid w:val="00090E82"/>
    <w:rsid w:val="00233C11"/>
    <w:rsid w:val="00316BFE"/>
    <w:rsid w:val="00687597"/>
    <w:rsid w:val="009E674E"/>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EC91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687597"/>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7597"/>
    <w:rPr>
      <w:rFonts w:ascii="Times New Roman" w:hAnsi="Times New Roman" w:cs="Times New Roman"/>
      <w:b/>
      <w:bCs/>
      <w:kern w:val="36"/>
      <w:sz w:val="48"/>
      <w:szCs w:val="48"/>
      <w:lang w:eastAsia="da-DK"/>
    </w:rPr>
  </w:style>
  <w:style w:type="paragraph" w:styleId="Sidehoved">
    <w:name w:val="header"/>
    <w:basedOn w:val="Normal"/>
    <w:link w:val="SidehovedTegn"/>
    <w:uiPriority w:val="99"/>
    <w:unhideWhenUsed/>
    <w:rsid w:val="00687597"/>
    <w:pPr>
      <w:tabs>
        <w:tab w:val="center" w:pos="4819"/>
        <w:tab w:val="right" w:pos="9638"/>
      </w:tabs>
    </w:pPr>
  </w:style>
  <w:style w:type="character" w:customStyle="1" w:styleId="SidehovedTegn">
    <w:name w:val="Sidehoved Tegn"/>
    <w:basedOn w:val="Standardskrifttypeiafsnit"/>
    <w:link w:val="Sidehoved"/>
    <w:uiPriority w:val="99"/>
    <w:rsid w:val="00687597"/>
  </w:style>
  <w:style w:type="paragraph" w:styleId="Sidefod">
    <w:name w:val="footer"/>
    <w:basedOn w:val="Normal"/>
    <w:link w:val="SidefodTegn"/>
    <w:uiPriority w:val="99"/>
    <w:unhideWhenUsed/>
    <w:rsid w:val="00687597"/>
    <w:pPr>
      <w:tabs>
        <w:tab w:val="center" w:pos="4819"/>
        <w:tab w:val="right" w:pos="9638"/>
      </w:tabs>
    </w:pPr>
  </w:style>
  <w:style w:type="character" w:customStyle="1" w:styleId="SidefodTegn">
    <w:name w:val="Sidefod Tegn"/>
    <w:basedOn w:val="Standardskrifttypeiafsnit"/>
    <w:link w:val="Sidefod"/>
    <w:uiPriority w:val="99"/>
    <w:rsid w:val="00687597"/>
  </w:style>
  <w:style w:type="character" w:styleId="Sidetal">
    <w:name w:val="page number"/>
    <w:basedOn w:val="Standardskrifttypeiafsnit"/>
    <w:uiPriority w:val="99"/>
    <w:semiHidden/>
    <w:unhideWhenUsed/>
    <w:rsid w:val="009E6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72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2543</Characters>
  <Application>Microsoft Macintosh Word</Application>
  <DocSecurity>0</DocSecurity>
  <Lines>21</Lines>
  <Paragraphs>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Bjergprædikenen</vt:lpstr>
    </vt:vector>
  </TitlesOfParts>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2018-09-27T09:30:00Z</dcterms:created>
  <dcterms:modified xsi:type="dcterms:W3CDTF">2018-09-27T09:35:00Z</dcterms:modified>
</cp:coreProperties>
</file>