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01AFE" w14:textId="77777777" w:rsidR="00D546D4" w:rsidRPr="00091164" w:rsidRDefault="00091164">
      <w:pPr>
        <w:rPr>
          <w:b/>
          <w:sz w:val="24"/>
          <w:szCs w:val="24"/>
        </w:rPr>
      </w:pPr>
      <w:r w:rsidRPr="00091164">
        <w:rPr>
          <w:b/>
          <w:sz w:val="24"/>
          <w:szCs w:val="24"/>
        </w:rPr>
        <w:t>Bent Fischer-Nielsen</w:t>
      </w:r>
      <w:r>
        <w:rPr>
          <w:b/>
          <w:sz w:val="24"/>
          <w:szCs w:val="24"/>
        </w:rPr>
        <w:t>:</w:t>
      </w:r>
      <w:r w:rsidRPr="00091164">
        <w:rPr>
          <w:b/>
          <w:sz w:val="24"/>
          <w:szCs w:val="24"/>
        </w:rPr>
        <w:t xml:space="preserve"> </w:t>
      </w:r>
      <w:r w:rsidR="00F26E22" w:rsidRPr="00091164">
        <w:rPr>
          <w:b/>
          <w:sz w:val="24"/>
          <w:szCs w:val="24"/>
        </w:rPr>
        <w:t>Lineær regression – hvordan?</w:t>
      </w:r>
    </w:p>
    <w:p w14:paraId="1B085466" w14:textId="77777777" w:rsidR="00BF79C4" w:rsidRDefault="00F26E22">
      <w:r>
        <w:t>Marker de tal (og kun selve tallene) i regnearket, som skal undersøges for lineær regression.</w:t>
      </w:r>
      <w:r w:rsidR="00DE576A">
        <w:t xml:space="preserve"> Dvs. to rækker</w:t>
      </w:r>
      <w:r w:rsidR="00B140E8">
        <w:t xml:space="preserve"> eller søjler</w:t>
      </w:r>
      <w:r w:rsidR="00DE576A">
        <w:t xml:space="preserve"> med </w:t>
      </w:r>
      <w:r w:rsidR="00BE3C8B">
        <w:t>sa</w:t>
      </w:r>
      <w:r w:rsidR="00FC78F6">
        <w:t>mhørende tal, fx</w:t>
      </w:r>
      <w:r w:rsidR="00BE3C8B">
        <w:t xml:space="preserve"> </w:t>
      </w:r>
      <w:r w:rsidR="00FC78F6">
        <w:t>benzinpris og årskørsel for en række år.</w:t>
      </w:r>
      <w:r w:rsidR="00DE576A">
        <w:t xml:space="preserve"> Vælg Indsæt</w:t>
      </w:r>
      <w:r>
        <w:t xml:space="preserve"> </w:t>
      </w:r>
      <w:r w:rsidR="00DE576A">
        <w:t>&gt; Punktdiagram. Punktdiagram tegnes nu.</w:t>
      </w:r>
      <w:r w:rsidR="002B6D1A">
        <w:t xml:space="preserve"> </w:t>
      </w:r>
      <w:r w:rsidR="00DE576A">
        <w:t>Vælg et Diagramlayout. Du kan nu skrive Diagramtitel og Aksetitel ved at klikke på disse ord.</w:t>
      </w:r>
    </w:p>
    <w:p w14:paraId="299A8387" w14:textId="77777777" w:rsidR="00632612" w:rsidRDefault="000F4B94">
      <w:r>
        <w:t>Excel</w:t>
      </w:r>
      <w:r w:rsidR="00F022C8">
        <w:t xml:space="preserve"> 2010</w:t>
      </w:r>
      <w:r>
        <w:t>: Vælg Diagramlayout med ”fx” og du får tegnet tendenslinjen inkl. ligning og R</w:t>
      </w:r>
      <w:r w:rsidRPr="000F4B94">
        <w:rPr>
          <w:vertAlign w:val="superscript"/>
        </w:rPr>
        <w:t>2</w:t>
      </w:r>
      <w:r w:rsidR="0061235C">
        <w:t>-værdi.</w:t>
      </w:r>
      <w:r w:rsidR="00F022C8">
        <w:br/>
        <w:t>Excel 2013</w:t>
      </w:r>
      <w:r w:rsidR="00E62E40">
        <w:t>-</w:t>
      </w:r>
      <w:r w:rsidR="00F022C8">
        <w:t>:</w:t>
      </w:r>
      <w:r w:rsidR="00BF79C4">
        <w:t xml:space="preserve"> Vælg i ”Hurtigt layout” diagram med ”fx” og du får tegnet tendenslinje mm.</w:t>
      </w:r>
      <w:r w:rsidR="00F022C8">
        <w:t xml:space="preserve"> </w:t>
      </w:r>
      <w:r w:rsidR="0061235C">
        <w:br/>
        <w:t>MAC</w:t>
      </w:r>
      <w:r>
        <w:t xml:space="preserve">: </w:t>
      </w:r>
      <w:r w:rsidR="00E62E40">
        <w:t>Gør nogenlunde dom ovenfor eller h</w:t>
      </w:r>
      <w:r w:rsidR="00632612">
        <w:t>øjreklik på et af punkterne i diagr</w:t>
      </w:r>
      <w:r w:rsidR="00772FB4">
        <w:t>ammet og vælg Tilføj tendenslinj</w:t>
      </w:r>
      <w:r w:rsidR="00632612">
        <w:t>e og sæt hak i Vis lign</w:t>
      </w:r>
      <w:r w:rsidR="00B922D2">
        <w:t xml:space="preserve">ing i diagram og </w:t>
      </w:r>
      <w:r w:rsidR="00C46E5F">
        <w:t xml:space="preserve">i </w:t>
      </w:r>
      <w:r w:rsidR="00B922D2">
        <w:t>Vis R-kvadreret</w:t>
      </w:r>
      <w:r w:rsidR="00632612">
        <w:t xml:space="preserve">. </w:t>
      </w:r>
      <w:r w:rsidR="00F022C8">
        <w:br/>
      </w:r>
      <w:r w:rsidR="00E76857">
        <w:t>Du har nu konstrueret e</w:t>
      </w:r>
      <w:r w:rsidR="00C46E5F">
        <w:t>t diagram med lineær regression!</w:t>
      </w:r>
    </w:p>
    <w:p w14:paraId="27B4ADE8" w14:textId="77777777" w:rsidR="00E76857" w:rsidRDefault="00322F5F">
      <w:r>
        <w:rPr>
          <w:noProof/>
        </w:rPr>
        <w:drawing>
          <wp:anchor distT="0" distB="0" distL="114300" distR="114300" simplePos="0" relativeHeight="251658240" behindDoc="0" locked="0" layoutInCell="1" allowOverlap="1" wp14:anchorId="0C33472C" wp14:editId="263E1BB5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3143250" cy="1962150"/>
            <wp:effectExtent l="0" t="0" r="19050" b="190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EB3">
        <w:t xml:space="preserve">Hvordan skal det så tolkes? </w:t>
      </w:r>
      <w:r w:rsidR="00772FB4" w:rsidRPr="00FC78F6">
        <w:rPr>
          <w:b/>
          <w:i/>
        </w:rPr>
        <w:t>Tendenslinj</w:t>
      </w:r>
      <w:r w:rsidR="00E76857" w:rsidRPr="00FC78F6">
        <w:rPr>
          <w:b/>
          <w:i/>
        </w:rPr>
        <w:t>en</w:t>
      </w:r>
      <w:r w:rsidR="00772FB4">
        <w:t xml:space="preserve"> er den linj</w:t>
      </w:r>
      <w:r w:rsidR="00E76857">
        <w:t>e, der ligger tættest på punkterne.</w:t>
      </w:r>
      <w:r w:rsidR="00BF0EB3">
        <w:t xml:space="preserve"> </w:t>
      </w:r>
      <w:r w:rsidR="00E76857">
        <w:t>Lig</w:t>
      </w:r>
      <w:r w:rsidR="00772FB4">
        <w:t>ningen for linj</w:t>
      </w:r>
      <w:r w:rsidR="00E76857">
        <w:t xml:space="preserve">en er af typen y = </w:t>
      </w:r>
      <w:proofErr w:type="spellStart"/>
      <w:r w:rsidR="00E76857">
        <w:t>ax</w:t>
      </w:r>
      <w:proofErr w:type="spellEnd"/>
      <w:r w:rsidR="00E76857">
        <w:t xml:space="preserve"> + b, hvor a angiver </w:t>
      </w:r>
      <w:r w:rsidR="00E76857" w:rsidRPr="00731AD0">
        <w:rPr>
          <w:i/>
        </w:rPr>
        <w:t>hæ</w:t>
      </w:r>
      <w:r w:rsidR="00772FB4" w:rsidRPr="00731AD0">
        <w:rPr>
          <w:i/>
        </w:rPr>
        <w:t xml:space="preserve">ldningskoefficienten </w:t>
      </w:r>
      <w:r w:rsidR="00E92456">
        <w:rPr>
          <w:i/>
        </w:rPr>
        <w:t xml:space="preserve">(= regressionskoefficienten) </w:t>
      </w:r>
      <w:r w:rsidR="00772FB4">
        <w:t>for linj</w:t>
      </w:r>
      <w:r w:rsidR="00FB5421">
        <w:t xml:space="preserve">en: I ligningen </w:t>
      </w:r>
      <w:r>
        <w:t>y = -798,83</w:t>
      </w:r>
      <w:r w:rsidR="00E76857" w:rsidRPr="00E76857">
        <w:t xml:space="preserve">x </w:t>
      </w:r>
      <w:r>
        <w:t>+ 23270 er hældningskoefficienten -798,83</w:t>
      </w:r>
      <w:r w:rsidR="00FB5421">
        <w:t xml:space="preserve">: </w:t>
      </w:r>
      <w:r w:rsidR="004A3DF5">
        <w:t>N</w:t>
      </w:r>
      <w:r>
        <w:t>år x (benzinpris</w:t>
      </w:r>
      <w:r w:rsidR="0069655D">
        <w:t xml:space="preserve"> pr. liter</w:t>
      </w:r>
      <w:r w:rsidR="00FB5421">
        <w:t>) st</w:t>
      </w:r>
      <w:r w:rsidR="002E7D71">
        <w:t>iger med 1</w:t>
      </w:r>
      <w:r w:rsidR="00192013">
        <w:t xml:space="preserve"> kr.</w:t>
      </w:r>
      <w:r w:rsidR="002E7D71">
        <w:t xml:space="preserve">, </w:t>
      </w:r>
      <w:r w:rsidR="0069655D">
        <w:t>falder y</w:t>
      </w:r>
      <w:r w:rsidR="00192013">
        <w:t xml:space="preserve"> med 798,83 km (</w:t>
      </w:r>
      <w:proofErr w:type="gramStart"/>
      <w:r w:rsidR="00192013">
        <w:t xml:space="preserve">årskørsel </w:t>
      </w:r>
      <w:r w:rsidR="00FB5421">
        <w:t>)</w:t>
      </w:r>
      <w:proofErr w:type="gramEnd"/>
      <w:r w:rsidR="00FB5421">
        <w:t>.</w:t>
      </w:r>
      <w:r w:rsidR="004A3DF5">
        <w:t xml:space="preserve"> Modellen udtrykker denne sammenhæng mellem x og y. Mod</w:t>
      </w:r>
      <w:r w:rsidR="00257D0F">
        <w:t>ellen er</w:t>
      </w:r>
      <w:r w:rsidR="00E92456">
        <w:t xml:space="preserve"> kvantitativ og </w:t>
      </w:r>
      <w:r w:rsidR="00257D0F">
        <w:t>lineær.</w:t>
      </w:r>
    </w:p>
    <w:p w14:paraId="59806B48" w14:textId="77777777" w:rsidR="000F7A30" w:rsidRDefault="00FB5421">
      <w:r w:rsidRPr="00731AD0">
        <w:rPr>
          <w:b/>
        </w:rPr>
        <w:t>R</w:t>
      </w:r>
      <w:r w:rsidRPr="00731AD0">
        <w:rPr>
          <w:b/>
          <w:vertAlign w:val="superscript"/>
        </w:rPr>
        <w:t>2</w:t>
      </w:r>
      <w:r>
        <w:t xml:space="preserve"> viser </w:t>
      </w:r>
      <w:r w:rsidRPr="00FC78F6">
        <w:rPr>
          <w:b/>
          <w:i/>
        </w:rPr>
        <w:t>forklaringsgraden</w:t>
      </w:r>
      <w:r w:rsidR="00B922D2">
        <w:t xml:space="preserve">, som udtrykker hvor stor en del af variationen i den afhængige variabel </w:t>
      </w:r>
      <w:r w:rsidR="00B922D2" w:rsidRPr="00B922D2">
        <w:rPr>
          <w:i/>
        </w:rPr>
        <w:t>y</w:t>
      </w:r>
      <w:r w:rsidR="00B922D2">
        <w:t xml:space="preserve">, der </w:t>
      </w:r>
      <w:r w:rsidR="00B922D2" w:rsidRPr="00731AD0">
        <w:t>forklares</w:t>
      </w:r>
      <w:r w:rsidR="00E563DB">
        <w:t>/ beskrives</w:t>
      </w:r>
      <w:r w:rsidR="00B922D2" w:rsidRPr="00731AD0">
        <w:t xml:space="preserve"> af</w:t>
      </w:r>
      <w:r w:rsidR="00772FB4" w:rsidRPr="00731AD0">
        <w:t xml:space="preserve"> </w:t>
      </w:r>
      <w:r w:rsidR="00247F63">
        <w:t>den uafhængige variabel x/</w:t>
      </w:r>
      <w:r w:rsidR="00772FB4" w:rsidRPr="00731AD0">
        <w:t>tendenslinj</w:t>
      </w:r>
      <w:r w:rsidRPr="00731AD0">
        <w:t>en</w:t>
      </w:r>
      <w:r w:rsidR="00B922D2" w:rsidRPr="00731AD0">
        <w:t>/ligningen/</w:t>
      </w:r>
      <w:r w:rsidR="006B4459" w:rsidRPr="00731AD0">
        <w:t>modellen</w:t>
      </w:r>
      <w:r w:rsidR="00091164">
        <w:rPr>
          <w:rStyle w:val="Fodnotehenvisning"/>
        </w:rPr>
        <w:footnoteReference w:id="1"/>
      </w:r>
      <w:r>
        <w:t>.</w:t>
      </w:r>
      <w:r w:rsidR="00091164">
        <w:t xml:space="preserve"> Lineær regression er ikke i sig selv et bevis for, at der er en årsagssammenhæng. </w:t>
      </w:r>
      <w:r w:rsidR="00091164" w:rsidRPr="00817BCA">
        <w:t>For at kunne tale om en sammenhæng skal vi</w:t>
      </w:r>
      <w:r w:rsidR="0086392B" w:rsidRPr="00817BCA">
        <w:t xml:space="preserve"> </w:t>
      </w:r>
      <w:r w:rsidR="00091164" w:rsidRPr="00E92456">
        <w:rPr>
          <w:b/>
        </w:rPr>
        <w:t>fagligt/teoretisk ku</w:t>
      </w:r>
      <w:r w:rsidR="009E6EC1" w:rsidRPr="00E92456">
        <w:rPr>
          <w:b/>
        </w:rPr>
        <w:t>n</w:t>
      </w:r>
      <w:r w:rsidR="00091164" w:rsidRPr="00E92456">
        <w:rPr>
          <w:b/>
        </w:rPr>
        <w:t>ne</w:t>
      </w:r>
      <w:r w:rsidR="009E6EC1" w:rsidRPr="00E92456">
        <w:rPr>
          <w:b/>
        </w:rPr>
        <w:t xml:space="preserve"> begrunde en sammenhæng</w:t>
      </w:r>
      <w:r w:rsidR="004A3DF5" w:rsidRPr="00E92456">
        <w:rPr>
          <w:b/>
        </w:rPr>
        <w:t xml:space="preserve"> mellem de to variable</w:t>
      </w:r>
      <w:r w:rsidR="009E6EC1" w:rsidRPr="00817BCA">
        <w:t>. R</w:t>
      </w:r>
      <w:r w:rsidR="009E6EC1" w:rsidRPr="00817BCA">
        <w:rPr>
          <w:vertAlign w:val="superscript"/>
        </w:rPr>
        <w:t>2</w:t>
      </w:r>
      <w:r w:rsidR="009E6EC1">
        <w:t xml:space="preserve"> varierer mellem 0 og 1. </w:t>
      </w:r>
      <w:r>
        <w:t>Hvis R</w:t>
      </w:r>
      <w:r w:rsidRPr="002D14B5">
        <w:rPr>
          <w:vertAlign w:val="superscript"/>
        </w:rPr>
        <w:t>2</w:t>
      </w:r>
      <w:r>
        <w:t xml:space="preserve"> er 1, ligger alle punkterne præcis på den</w:t>
      </w:r>
      <w:r w:rsidR="00772FB4">
        <w:t xml:space="preserve"> rette linj</w:t>
      </w:r>
      <w:r>
        <w:t>e</w:t>
      </w:r>
      <w:r w:rsidR="00B339ED">
        <w:t>,</w:t>
      </w:r>
      <w:r>
        <w:t xml:space="preserve"> og </w:t>
      </w:r>
      <w:r w:rsidR="00B339ED">
        <w:t>tendens</w:t>
      </w:r>
      <w:r w:rsidR="00772FB4">
        <w:t>linj</w:t>
      </w:r>
      <w:r>
        <w:t xml:space="preserve">en kan forklare </w:t>
      </w:r>
      <w:r w:rsidRPr="00623D64">
        <w:t>100 % af</w:t>
      </w:r>
      <w:r>
        <w:t xml:space="preserve"> variationen</w:t>
      </w:r>
      <w:r w:rsidR="00B922D2">
        <w:t xml:space="preserve"> i den afhængige variabel y</w:t>
      </w:r>
      <w:r>
        <w:t>.</w:t>
      </w:r>
      <w:r w:rsidR="00BE3C8B">
        <w:t xml:space="preserve"> Jo tættere punkterne ligger på tendenslinjen, jo højere bliver R</w:t>
      </w:r>
      <w:r w:rsidR="00BE3C8B" w:rsidRPr="00BE3C8B">
        <w:rPr>
          <w:vertAlign w:val="superscript"/>
        </w:rPr>
        <w:t>2</w:t>
      </w:r>
      <w:r w:rsidR="00BE3C8B">
        <w:t>. Jo mere spredt punkterne ligger i forhold til linjen, jo mere vil R</w:t>
      </w:r>
      <w:r w:rsidR="00BE3C8B" w:rsidRPr="00BE3C8B">
        <w:rPr>
          <w:vertAlign w:val="superscript"/>
        </w:rPr>
        <w:t>2</w:t>
      </w:r>
      <w:r w:rsidR="00BE3C8B">
        <w:t xml:space="preserve"> nærme sig 0.</w:t>
      </w:r>
      <w:r w:rsidR="00B339ED">
        <w:t xml:space="preserve"> Hvis R</w:t>
      </w:r>
      <w:r w:rsidR="00B339ED" w:rsidRPr="002D14B5">
        <w:rPr>
          <w:vertAlign w:val="superscript"/>
        </w:rPr>
        <w:t>2</w:t>
      </w:r>
      <w:r w:rsidR="00B339ED">
        <w:t xml:space="preserve"> er 0,</w:t>
      </w:r>
      <w:r w:rsidR="00192013">
        <w:t>59</w:t>
      </w:r>
      <w:r w:rsidR="00C01BA2">
        <w:t>,</w:t>
      </w:r>
      <w:r w:rsidR="00BE3C8B">
        <w:t xml:space="preserve"> ligger punkterne lidt</w:t>
      </w:r>
      <w:r w:rsidR="00192013">
        <w:t xml:space="preserve"> spredt i forhold til linjen</w:t>
      </w:r>
      <w:r w:rsidR="004A3DF5">
        <w:t xml:space="preserve">, men har stadig form som ”en cigar” omkring linjen. </w:t>
      </w:r>
      <w:r w:rsidR="00247F63">
        <w:t>x/t</w:t>
      </w:r>
      <w:r w:rsidR="00B339ED" w:rsidRPr="00623D64">
        <w:t>endens</w:t>
      </w:r>
      <w:r w:rsidR="00772FB4" w:rsidRPr="00623D64">
        <w:t>linj</w:t>
      </w:r>
      <w:r w:rsidR="00192013" w:rsidRPr="00623D64">
        <w:t>en</w:t>
      </w:r>
      <w:r w:rsidR="001B260E">
        <w:t>/ligningen</w:t>
      </w:r>
      <w:r w:rsidR="00257D0F">
        <w:t>/</w:t>
      </w:r>
      <w:r w:rsidR="00247F63">
        <w:t>m</w:t>
      </w:r>
      <w:r w:rsidR="00257D0F">
        <w:t>odellen</w:t>
      </w:r>
      <w:r w:rsidR="001B260E">
        <w:t xml:space="preserve"> om sammenhængen mellem årskørsel og benzinpris</w:t>
      </w:r>
      <w:r w:rsidR="00192013" w:rsidRPr="00623D64">
        <w:t xml:space="preserve"> kan forklare 59</w:t>
      </w:r>
      <w:r w:rsidR="001B260E">
        <w:t xml:space="preserve"> % af variationen</w:t>
      </w:r>
      <w:r w:rsidR="00681E42">
        <w:t xml:space="preserve"> i y (årskørsel)</w:t>
      </w:r>
      <w:r w:rsidR="00E456AA">
        <w:t>.</w:t>
      </w:r>
    </w:p>
    <w:p w14:paraId="2EA0865E" w14:textId="77777777" w:rsidR="00192013" w:rsidRDefault="002B6D1A" w:rsidP="00B339ED">
      <w:r w:rsidRPr="00731AD0">
        <w:rPr>
          <w:b/>
        </w:rPr>
        <w:t>Metodediskussion:</w:t>
      </w:r>
      <w:r>
        <w:t xml:space="preserve"> Kan vi være sikre på at den ene variabel påvirker den anden variabel, blot fordi R</w:t>
      </w:r>
      <w:r w:rsidRPr="002D14B5">
        <w:rPr>
          <w:vertAlign w:val="superscript"/>
        </w:rPr>
        <w:t xml:space="preserve">2 </w:t>
      </w:r>
      <w:r>
        <w:t xml:space="preserve">er høj, eller kan der tænkes andre forklaringer? Der må bl.a. tages forbehold for, om der er en </w:t>
      </w:r>
      <w:r w:rsidRPr="00C01BA2">
        <w:rPr>
          <w:i/>
        </w:rPr>
        <w:t>tredje</w:t>
      </w:r>
      <w:r w:rsidR="004A3DF5">
        <w:rPr>
          <w:i/>
        </w:rPr>
        <w:t xml:space="preserve"> </w:t>
      </w:r>
      <w:r w:rsidRPr="00C01BA2">
        <w:rPr>
          <w:i/>
        </w:rPr>
        <w:t>variabel</w:t>
      </w:r>
      <w:r>
        <w:t>, der kan forklare variationen i de to faktorer. Man kan diskutere og evt. undersøge, hvilken tredje</w:t>
      </w:r>
      <w:r w:rsidR="004A3DF5">
        <w:t xml:space="preserve"> </w:t>
      </w:r>
      <w:r>
        <w:t>variabel det kunne være. Kunne fx øget miljøbevidsthed forklare, både at benzinprisen steg</w:t>
      </w:r>
      <w:r w:rsidR="00C01BA2">
        <w:t>,</w:t>
      </w:r>
      <w:r>
        <w:t xml:space="preserve"> og at årskørslen faldt? </w:t>
      </w:r>
      <w:r w:rsidR="00B07F2F">
        <w:br/>
      </w:r>
      <w:r w:rsidR="0069655D">
        <w:t>Man kan evt. undersøge</w:t>
      </w:r>
      <w:r w:rsidR="00B339ED">
        <w:t xml:space="preserve"> </w:t>
      </w:r>
      <w:r w:rsidR="00772FB4">
        <w:t>de punkter, der afviger fra linj</w:t>
      </w:r>
      <w:r w:rsidR="00B339ED">
        <w:t xml:space="preserve">en. </w:t>
      </w:r>
      <w:r w:rsidR="00192013">
        <w:t>Sæt markøren på et punkt og se hvilke værdier, der knytter sig til punktet. Punktet (8,71, 14700) er fra 1975 og ligger under linjen. Hvad kan forklaringen være?</w:t>
      </w:r>
    </w:p>
    <w:p w14:paraId="5F4F9C7D" w14:textId="77777777" w:rsidR="00D16779" w:rsidRPr="00BF0EB3" w:rsidRDefault="00060253" w:rsidP="00310731">
      <w:r w:rsidRPr="001F18CE">
        <w:rPr>
          <w:b/>
        </w:rPr>
        <w:t>Øvelser:</w:t>
      </w:r>
      <w:r>
        <w:t xml:space="preserve"> Konstruer diagram med lineær regression ud fra </w:t>
      </w:r>
      <w:r w:rsidR="00FC78F6">
        <w:t xml:space="preserve">data på de øvrige ark i filen. </w:t>
      </w:r>
      <w:r w:rsidRPr="00E92456">
        <w:rPr>
          <w:b/>
        </w:rPr>
        <w:t>Hvor</w:t>
      </w:r>
      <w:r w:rsidR="00772FB4" w:rsidRPr="00E92456">
        <w:rPr>
          <w:b/>
        </w:rPr>
        <w:t xml:space="preserve">dan skal </w:t>
      </w:r>
      <w:r w:rsidR="00CB6049" w:rsidRPr="00E92456">
        <w:rPr>
          <w:b/>
        </w:rPr>
        <w:t>man tolke 1) Hældningskoefficienten (regressionskoefficienten) i ligningen, 2) R</w:t>
      </w:r>
      <w:r w:rsidR="00CB6049" w:rsidRPr="00E92456">
        <w:rPr>
          <w:b/>
          <w:vertAlign w:val="superscript"/>
        </w:rPr>
        <w:t>2</w:t>
      </w:r>
      <w:r w:rsidR="00CB6049" w:rsidRPr="00E92456">
        <w:rPr>
          <w:b/>
        </w:rPr>
        <w:t xml:space="preserve"> og 3) punkternes beliggenhed i diagrammet?</w:t>
      </w:r>
      <w:r w:rsidR="0069655D">
        <w:br/>
        <w:t>Hvad viser lineær regression for BNP og CO</w:t>
      </w:r>
      <w:r w:rsidR="0069655D" w:rsidRPr="0069655D">
        <w:rPr>
          <w:vertAlign w:val="subscript"/>
        </w:rPr>
        <w:t>2</w:t>
      </w:r>
      <w:r w:rsidR="0069655D">
        <w:t>? Slet USA og Kina i tabellen, og se hvad der sker med figuren, tendenslinjens ligning og R</w:t>
      </w:r>
      <w:r w:rsidR="0069655D" w:rsidRPr="0069655D">
        <w:rPr>
          <w:vertAlign w:val="superscript"/>
        </w:rPr>
        <w:t>2</w:t>
      </w:r>
      <w:r w:rsidR="0069655D">
        <w:t xml:space="preserve">. </w:t>
      </w:r>
      <w:r w:rsidR="00E006FF">
        <w:t>Det ses, at R</w:t>
      </w:r>
      <w:r w:rsidR="00E006FF" w:rsidRPr="00E006FF">
        <w:rPr>
          <w:vertAlign w:val="superscript"/>
        </w:rPr>
        <w:t xml:space="preserve">2 </w:t>
      </w:r>
      <w:r w:rsidR="00E006FF">
        <w:t>er meget påvirkelig af ekstreme observationer (</w:t>
      </w:r>
      <w:proofErr w:type="spellStart"/>
      <w:r w:rsidR="00E006FF">
        <w:t>outliers</w:t>
      </w:r>
      <w:proofErr w:type="spellEnd"/>
      <w:r w:rsidR="00E006FF">
        <w:t>)</w:t>
      </w:r>
      <w:r w:rsidR="0069655D">
        <w:t xml:space="preserve"> </w:t>
      </w:r>
      <w:r w:rsidR="00E006FF">
        <w:t xml:space="preserve">som USA og Kina. Hvilke forklaringer kan der være på at Rusland, Kina, Brasilien og Frankrig afviger fra tendenslinjen? </w:t>
      </w:r>
      <w:r w:rsidR="00D922D1">
        <w:br/>
        <w:t>Hvilke ”Data i EU-lande” kan det være relevant at teste for lineær regr</w:t>
      </w:r>
      <w:r w:rsidR="00B07F2F">
        <w:t>ession? Hvad bliver resultatet?</w:t>
      </w:r>
      <w:r w:rsidR="00257D0F">
        <w:br/>
        <w:t>Hvordan inddrager vi lineær regression i undervisningen?</w:t>
      </w:r>
      <w:r w:rsidR="00F022C8">
        <w:br/>
      </w:r>
      <w:r w:rsidR="00D16779">
        <w:t xml:space="preserve">Test for </w:t>
      </w:r>
      <w:r w:rsidR="00D16779" w:rsidRPr="00D16779">
        <w:rPr>
          <w:i/>
        </w:rPr>
        <w:t>a</w:t>
      </w:r>
      <w:r w:rsidR="00770A7D" w:rsidRPr="00D16779">
        <w:rPr>
          <w:i/>
        </w:rPr>
        <w:t xml:space="preserve">ndre former for </w:t>
      </w:r>
      <w:r w:rsidR="00D16779" w:rsidRPr="00D16779">
        <w:rPr>
          <w:i/>
        </w:rPr>
        <w:t>regression</w:t>
      </w:r>
      <w:r w:rsidR="00D16779">
        <w:t xml:space="preserve"> fx eksponentiel, hvis punkterne i diagrammet ikke ligger omkring en linje. </w:t>
      </w:r>
      <w:r w:rsidR="00B07F2F">
        <w:t xml:space="preserve"> </w:t>
      </w:r>
    </w:p>
    <w:sectPr w:rsidR="00D16779" w:rsidRPr="00BF0EB3" w:rsidSect="00B92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CD0B2" w14:textId="77777777" w:rsidR="00AE1F9B" w:rsidRDefault="00AE1F9B" w:rsidP="00091164">
      <w:pPr>
        <w:spacing w:after="0" w:line="240" w:lineRule="auto"/>
      </w:pPr>
      <w:r>
        <w:separator/>
      </w:r>
    </w:p>
  </w:endnote>
  <w:endnote w:type="continuationSeparator" w:id="0">
    <w:p w14:paraId="5B618807" w14:textId="77777777" w:rsidR="00AE1F9B" w:rsidRDefault="00AE1F9B" w:rsidP="0009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96DD" w14:textId="77777777" w:rsidR="00AE1F9B" w:rsidRDefault="00AE1F9B" w:rsidP="00091164">
      <w:pPr>
        <w:spacing w:after="0" w:line="240" w:lineRule="auto"/>
      </w:pPr>
      <w:r>
        <w:separator/>
      </w:r>
    </w:p>
  </w:footnote>
  <w:footnote w:type="continuationSeparator" w:id="0">
    <w:p w14:paraId="3CE86160" w14:textId="77777777" w:rsidR="00AE1F9B" w:rsidRDefault="00AE1F9B" w:rsidP="00091164">
      <w:pPr>
        <w:spacing w:after="0" w:line="240" w:lineRule="auto"/>
      </w:pPr>
      <w:r>
        <w:continuationSeparator/>
      </w:r>
    </w:p>
  </w:footnote>
  <w:footnote w:id="1">
    <w:p w14:paraId="6386D9AA" w14:textId="77777777" w:rsidR="00091164" w:rsidRDefault="0009116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91164">
        <w:t>”</w:t>
      </w:r>
      <w:r w:rsidR="00817BCA">
        <w:t>Vi siger derfor, at d</w:t>
      </w:r>
      <w:r w:rsidRPr="00091164">
        <w:t>en lineære model har en forklaringsgrad på 43,8</w:t>
      </w:r>
      <w:r>
        <w:t xml:space="preserve"> </w:t>
      </w:r>
      <w:r w:rsidRPr="00091164">
        <w:t>%, fordi den kan forklare 43,8</w:t>
      </w:r>
      <w:r>
        <w:t xml:space="preserve"> </w:t>
      </w:r>
      <w:r w:rsidRPr="00091164">
        <w:t xml:space="preserve">% af datapunkternes variation, men der er altså en betydelig restvariation, </w:t>
      </w:r>
      <w:r>
        <w:t xml:space="preserve">som modellen ikke kan forklare. </w:t>
      </w:r>
      <w:r w:rsidRPr="00091164">
        <w:t>Den kan så enten skyldes skjulte variable, som f.eks. køn eller tilfældige variationer…”</w:t>
      </w:r>
      <w:r>
        <w:t xml:space="preserve"> Matematiklærerforeningen 2010: MATHIT side 63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396E"/>
    <w:multiLevelType w:val="hybridMultilevel"/>
    <w:tmpl w:val="7D6AAC12"/>
    <w:lvl w:ilvl="0" w:tplc="04B4B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121E"/>
    <w:multiLevelType w:val="multilevel"/>
    <w:tmpl w:val="7ED8A576"/>
    <w:lvl w:ilvl="0">
      <w:start w:val="7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9022225">
    <w:abstractNumId w:val="0"/>
  </w:num>
  <w:num w:numId="2" w16cid:durableId="22892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22"/>
    <w:rsid w:val="000551F6"/>
    <w:rsid w:val="00060253"/>
    <w:rsid w:val="00091164"/>
    <w:rsid w:val="000D2BBE"/>
    <w:rsid w:val="000D7312"/>
    <w:rsid w:val="000F4B94"/>
    <w:rsid w:val="000F7A30"/>
    <w:rsid w:val="00192013"/>
    <w:rsid w:val="001B260E"/>
    <w:rsid w:val="001F18CE"/>
    <w:rsid w:val="00247F63"/>
    <w:rsid w:val="00257D0F"/>
    <w:rsid w:val="002B6D1A"/>
    <w:rsid w:val="002D14B5"/>
    <w:rsid w:val="002E7D71"/>
    <w:rsid w:val="00310731"/>
    <w:rsid w:val="00322F5F"/>
    <w:rsid w:val="00352247"/>
    <w:rsid w:val="00383D00"/>
    <w:rsid w:val="004453FF"/>
    <w:rsid w:val="004A3DF5"/>
    <w:rsid w:val="004E7D48"/>
    <w:rsid w:val="00542B11"/>
    <w:rsid w:val="0061235C"/>
    <w:rsid w:val="00623D64"/>
    <w:rsid w:val="00632612"/>
    <w:rsid w:val="00681E42"/>
    <w:rsid w:val="0069655D"/>
    <w:rsid w:val="006B4459"/>
    <w:rsid w:val="00731AD0"/>
    <w:rsid w:val="00740E55"/>
    <w:rsid w:val="007418CD"/>
    <w:rsid w:val="00770A7D"/>
    <w:rsid w:val="00772FB4"/>
    <w:rsid w:val="00777D8F"/>
    <w:rsid w:val="007801D8"/>
    <w:rsid w:val="00817BCA"/>
    <w:rsid w:val="00847211"/>
    <w:rsid w:val="0086392B"/>
    <w:rsid w:val="00882E70"/>
    <w:rsid w:val="008900F0"/>
    <w:rsid w:val="008F6209"/>
    <w:rsid w:val="00997FA9"/>
    <w:rsid w:val="009B59A5"/>
    <w:rsid w:val="009B7E0B"/>
    <w:rsid w:val="009C1C56"/>
    <w:rsid w:val="009E4338"/>
    <w:rsid w:val="009E6EC1"/>
    <w:rsid w:val="009E708A"/>
    <w:rsid w:val="00A827AF"/>
    <w:rsid w:val="00AE1F9B"/>
    <w:rsid w:val="00B07F2F"/>
    <w:rsid w:val="00B140E8"/>
    <w:rsid w:val="00B339ED"/>
    <w:rsid w:val="00B3563B"/>
    <w:rsid w:val="00B922D2"/>
    <w:rsid w:val="00BE3C8B"/>
    <w:rsid w:val="00BF0EB3"/>
    <w:rsid w:val="00BF79C4"/>
    <w:rsid w:val="00C01BA2"/>
    <w:rsid w:val="00C46E5F"/>
    <w:rsid w:val="00C71074"/>
    <w:rsid w:val="00C92C2E"/>
    <w:rsid w:val="00CB6049"/>
    <w:rsid w:val="00D16779"/>
    <w:rsid w:val="00D546D4"/>
    <w:rsid w:val="00D804D0"/>
    <w:rsid w:val="00D922D1"/>
    <w:rsid w:val="00DA2214"/>
    <w:rsid w:val="00DA23AE"/>
    <w:rsid w:val="00DC6302"/>
    <w:rsid w:val="00DE576A"/>
    <w:rsid w:val="00E006FF"/>
    <w:rsid w:val="00E456AA"/>
    <w:rsid w:val="00E563DB"/>
    <w:rsid w:val="00E62E40"/>
    <w:rsid w:val="00E76857"/>
    <w:rsid w:val="00E92456"/>
    <w:rsid w:val="00F022C8"/>
    <w:rsid w:val="00F26E22"/>
    <w:rsid w:val="00F404A8"/>
    <w:rsid w:val="00F630A7"/>
    <w:rsid w:val="00F71E4B"/>
    <w:rsid w:val="00F90570"/>
    <w:rsid w:val="00FB5421"/>
    <w:rsid w:val="00F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7103"/>
  <w15:docId w15:val="{412575E0-FC7F-43B0-A1F2-E501026C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22D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10731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09116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9116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911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fagdidaktisk%20kursus\Line&#230;r%20regression\Line&#230;r%20regression%20Data%20+%20resulta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Benzinpris og kørsel</a:t>
            </a:r>
          </a:p>
        </c:rich>
      </c:tx>
      <c:layout>
        <c:manualLayout>
          <c:xMode val="edge"/>
          <c:yMode val="edge"/>
          <c:x val="3.898480871709218E-2"/>
          <c:y val="3.7972122416736746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22617636146267056"/>
                  <c:y val="-0.2750515599775969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aseline="0"/>
                      <a:t>y = -798,83x + 23270
R² = 0,5898</a:t>
                    </a:r>
                    <a:endParaRPr lang="en-US" sz="1200"/>
                  </a:p>
                </c:rich>
              </c:tx>
              <c:numFmt formatCode="General" sourceLinked="0"/>
            </c:trendlineLbl>
          </c:trendline>
          <c:xVal>
            <c:numRef>
              <c:f>'Benzinpris og kørsel'!$B$3:$J$3</c:f>
              <c:numCache>
                <c:formatCode>General</c:formatCode>
                <c:ptCount val="9"/>
                <c:pt idx="0">
                  <c:v>8.2200000000000006</c:v>
                </c:pt>
                <c:pt idx="1">
                  <c:v>8.7100000000000009</c:v>
                </c:pt>
                <c:pt idx="2">
                  <c:v>11.84</c:v>
                </c:pt>
                <c:pt idx="3">
                  <c:v>10.26</c:v>
                </c:pt>
                <c:pt idx="4">
                  <c:v>7.65</c:v>
                </c:pt>
                <c:pt idx="5">
                  <c:v>7.48</c:v>
                </c:pt>
                <c:pt idx="6">
                  <c:v>8.76</c:v>
                </c:pt>
                <c:pt idx="7">
                  <c:v>8.39</c:v>
                </c:pt>
                <c:pt idx="8">
                  <c:v>9.1</c:v>
                </c:pt>
              </c:numCache>
            </c:numRef>
          </c:xVal>
          <c:yVal>
            <c:numRef>
              <c:f>'Benzinpris og kørsel'!$B$4:$J$4</c:f>
              <c:numCache>
                <c:formatCode>General</c:formatCode>
                <c:ptCount val="9"/>
                <c:pt idx="0">
                  <c:v>15500</c:v>
                </c:pt>
                <c:pt idx="1">
                  <c:v>14700</c:v>
                </c:pt>
                <c:pt idx="2">
                  <c:v>14100</c:v>
                </c:pt>
                <c:pt idx="3">
                  <c:v>14900</c:v>
                </c:pt>
                <c:pt idx="4">
                  <c:v>17000</c:v>
                </c:pt>
                <c:pt idx="5">
                  <c:v>18500</c:v>
                </c:pt>
                <c:pt idx="6">
                  <c:v>17000</c:v>
                </c:pt>
                <c:pt idx="7">
                  <c:v>17000</c:v>
                </c:pt>
                <c:pt idx="8">
                  <c:v>16500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598-4617-8E41-3E2F37324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473984"/>
        <c:axId val="7611904"/>
      </c:scatterChart>
      <c:valAx>
        <c:axId val="72473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a-DK" sz="1100"/>
                  <a:t>Benzinpris. Kr pr. liter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a-DK"/>
          </a:p>
        </c:txPr>
        <c:crossAx val="7611904"/>
        <c:crosses val="autoZero"/>
        <c:crossBetween val="midCat"/>
      </c:valAx>
      <c:valAx>
        <c:axId val="7611904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Årskørsel. Km</a:t>
                </a:r>
              </a:p>
            </c:rich>
          </c:tx>
          <c:layout>
            <c:manualLayout>
              <c:xMode val="edge"/>
              <c:yMode val="edge"/>
              <c:x val="2.4653213894821852E-2"/>
              <c:y val="0.4045157903649140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24739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5972-2939-4AAA-80E8-B60C9AC3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 Fischer-Nielsen</dc:creator>
  <cp:lastModifiedBy>Sarah Nyvang Kristensen</cp:lastModifiedBy>
  <cp:revision>2</cp:revision>
  <cp:lastPrinted>2012-09-07T14:45:00Z</cp:lastPrinted>
  <dcterms:created xsi:type="dcterms:W3CDTF">2024-09-19T17:56:00Z</dcterms:created>
  <dcterms:modified xsi:type="dcterms:W3CDTF">2024-09-19T17:56:00Z</dcterms:modified>
</cp:coreProperties>
</file>