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3B1BF145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3F138F">
        <w:rPr>
          <w:b/>
          <w:bCs/>
          <w:sz w:val="32"/>
          <w:szCs w:val="32"/>
        </w:rPr>
        <w:t xml:space="preserve">8 </w:t>
      </w:r>
      <w:r w:rsidRPr="00E003FB">
        <w:rPr>
          <w:b/>
          <w:bCs/>
          <w:sz w:val="32"/>
          <w:szCs w:val="32"/>
        </w:rPr>
        <w:t>–</w:t>
      </w:r>
      <w:r w:rsidR="008A4660">
        <w:rPr>
          <w:b/>
          <w:bCs/>
          <w:sz w:val="32"/>
          <w:szCs w:val="32"/>
        </w:rPr>
        <w:t xml:space="preserve"> </w:t>
      </w:r>
      <w:r w:rsidR="00A95EA7" w:rsidRPr="00A95EA7">
        <w:rPr>
          <w:b/>
          <w:bCs/>
          <w:sz w:val="32"/>
          <w:szCs w:val="32"/>
        </w:rPr>
        <w:t>Nationer og forestillede fællesskaber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3263AFDD" w14:textId="3306EEA6" w:rsidR="00C538B9" w:rsidRPr="00D2762B" w:rsidRDefault="00C538B9" w:rsidP="00C538B9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D2762B">
        <w:rPr>
          <w:rFonts w:cstheme="minorHAnsi"/>
        </w:rPr>
        <w:t>Brøndum, P., Hansen T. B. (2017). Luk samfundet op! (3 udg.). Columbus. S.</w:t>
      </w:r>
      <w:r w:rsidR="0073505A">
        <w:rPr>
          <w:rFonts w:cstheme="minorHAnsi"/>
        </w:rPr>
        <w:t xml:space="preserve"> 44</w:t>
      </w:r>
      <w:r w:rsidRPr="00D2762B">
        <w:rPr>
          <w:rFonts w:cstheme="minorHAnsi"/>
        </w:rPr>
        <w:t xml:space="preserve"> – </w:t>
      </w:r>
      <w:r w:rsidR="0073505A">
        <w:rPr>
          <w:rFonts w:cstheme="minorHAnsi"/>
        </w:rPr>
        <w:t>48</w:t>
      </w:r>
      <w:r w:rsidRPr="00D2762B">
        <w:rPr>
          <w:rFonts w:cstheme="minorHAnsi"/>
        </w:rPr>
        <w:t xml:space="preserve"> (første kolonne, </w:t>
      </w:r>
      <w:r>
        <w:rPr>
          <w:rFonts w:cstheme="minorHAnsi"/>
        </w:rPr>
        <w:t>midt</w:t>
      </w:r>
      <w:r w:rsidRPr="00D2762B">
        <w:rPr>
          <w:rFonts w:cstheme="minorHAnsi"/>
        </w:rPr>
        <w:t>)</w:t>
      </w:r>
    </w:p>
    <w:p w14:paraId="08693B1A" w14:textId="2309C689" w:rsidR="00C538B9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4FBB" w14:paraId="7F101084" w14:textId="77777777" w:rsidTr="00284FBB">
        <w:tc>
          <w:tcPr>
            <w:tcW w:w="4814" w:type="dxa"/>
          </w:tcPr>
          <w:p w14:paraId="7AB1E9CE" w14:textId="6999FDBF" w:rsidR="00284FBB" w:rsidRDefault="006826D5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Kultur </w:t>
            </w:r>
          </w:p>
        </w:tc>
        <w:tc>
          <w:tcPr>
            <w:tcW w:w="4814" w:type="dxa"/>
          </w:tcPr>
          <w:p w14:paraId="16636B17" w14:textId="77777777" w:rsidR="00284FBB" w:rsidRDefault="00284FBB" w:rsidP="00C538B9">
            <w:pPr>
              <w:rPr>
                <w:b/>
                <w:bCs/>
              </w:rPr>
            </w:pPr>
          </w:p>
        </w:tc>
      </w:tr>
      <w:tr w:rsidR="00284FBB" w14:paraId="4F595B22" w14:textId="77777777" w:rsidTr="00284FBB">
        <w:tc>
          <w:tcPr>
            <w:tcW w:w="4814" w:type="dxa"/>
          </w:tcPr>
          <w:p w14:paraId="26569CE1" w14:textId="05804D99" w:rsidR="00284FBB" w:rsidRDefault="00F74256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Hofstedes løgmodel</w:t>
            </w:r>
          </w:p>
        </w:tc>
        <w:tc>
          <w:tcPr>
            <w:tcW w:w="4814" w:type="dxa"/>
          </w:tcPr>
          <w:p w14:paraId="63CD2034" w14:textId="77777777" w:rsidR="00284FBB" w:rsidRDefault="00284FBB" w:rsidP="00C538B9">
            <w:pPr>
              <w:rPr>
                <w:b/>
                <w:bCs/>
              </w:rPr>
            </w:pPr>
          </w:p>
        </w:tc>
      </w:tr>
      <w:tr w:rsidR="00D21FCC" w14:paraId="2CC29F5D" w14:textId="77777777" w:rsidTr="00284FBB">
        <w:tc>
          <w:tcPr>
            <w:tcW w:w="4814" w:type="dxa"/>
          </w:tcPr>
          <w:p w14:paraId="7FA7B520" w14:textId="21ECF9E5" w:rsidR="00D21FCC" w:rsidRDefault="00D21FCC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National identitet</w:t>
            </w:r>
          </w:p>
        </w:tc>
        <w:tc>
          <w:tcPr>
            <w:tcW w:w="4814" w:type="dxa"/>
          </w:tcPr>
          <w:p w14:paraId="5FDC9811" w14:textId="77777777" w:rsidR="00D21FCC" w:rsidRDefault="00D21FCC" w:rsidP="00C538B9">
            <w:pPr>
              <w:rPr>
                <w:b/>
                <w:bCs/>
              </w:rPr>
            </w:pPr>
          </w:p>
        </w:tc>
      </w:tr>
      <w:tr w:rsidR="00284FBB" w14:paraId="64E057E1" w14:textId="77777777" w:rsidTr="00284FBB">
        <w:tc>
          <w:tcPr>
            <w:tcW w:w="4814" w:type="dxa"/>
          </w:tcPr>
          <w:p w14:paraId="320A04F0" w14:textId="0AF16E9F" w:rsidR="00284FBB" w:rsidRDefault="00910F0F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Forstillede fællesskaber</w:t>
            </w:r>
          </w:p>
        </w:tc>
        <w:tc>
          <w:tcPr>
            <w:tcW w:w="4814" w:type="dxa"/>
          </w:tcPr>
          <w:p w14:paraId="456C4002" w14:textId="77777777" w:rsidR="00284FBB" w:rsidRDefault="00284FBB" w:rsidP="00C538B9">
            <w:pPr>
              <w:rPr>
                <w:b/>
                <w:bCs/>
              </w:rPr>
            </w:pPr>
          </w:p>
        </w:tc>
      </w:tr>
    </w:tbl>
    <w:p w14:paraId="70357359" w14:textId="77777777" w:rsidR="0094386B" w:rsidRPr="000F2E21" w:rsidRDefault="0094386B" w:rsidP="00263A86">
      <w:pPr>
        <w:rPr>
          <w:b/>
          <w:bCs/>
        </w:rPr>
      </w:pPr>
    </w:p>
    <w:p w14:paraId="6E95A756" w14:textId="180E602F" w:rsidR="00263A86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B12482">
        <w:rPr>
          <w:b/>
          <w:bCs/>
        </w:rPr>
        <w:t>Hofstedes løgmodel</w:t>
      </w:r>
    </w:p>
    <w:p w14:paraId="0182C3B0" w14:textId="714E190A" w:rsidR="00B12482" w:rsidRDefault="00F40C15" w:rsidP="00263A86">
      <w:pPr>
        <w:rPr>
          <w:b/>
          <w:bCs/>
        </w:rPr>
      </w:pPr>
      <w:r>
        <w:rPr>
          <w:b/>
          <w:bCs/>
        </w:rPr>
        <w:t xml:space="preserve">Overvej hvilke værdier, ritualer, helte og symboler der giver os en fælles kultur. I må </w:t>
      </w:r>
      <w:r>
        <w:rPr>
          <w:b/>
          <w:bCs/>
          <w:u w:val="single"/>
        </w:rPr>
        <w:t xml:space="preserve">ikke </w:t>
      </w:r>
      <w:r>
        <w:rPr>
          <w:b/>
          <w:bCs/>
        </w:rPr>
        <w:t xml:space="preserve">bruge </w:t>
      </w:r>
      <w:r w:rsidR="00897E47">
        <w:rPr>
          <w:b/>
          <w:bCs/>
        </w:rPr>
        <w:t>de eksempler der er nævnt i bogen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15"/>
        <w:gridCol w:w="2271"/>
        <w:gridCol w:w="2271"/>
        <w:gridCol w:w="2271"/>
      </w:tblGrid>
      <w:tr w:rsidR="004B1838" w:rsidRPr="007D3F71" w14:paraId="78AAE66F" w14:textId="77777777" w:rsidTr="004B1838">
        <w:tc>
          <w:tcPr>
            <w:tcW w:w="2815" w:type="dxa"/>
          </w:tcPr>
          <w:p w14:paraId="563A6E79" w14:textId="77777777" w:rsidR="004B1838" w:rsidRPr="007D3F71" w:rsidRDefault="004B1838" w:rsidP="00263A86"/>
        </w:tc>
        <w:tc>
          <w:tcPr>
            <w:tcW w:w="2271" w:type="dxa"/>
          </w:tcPr>
          <w:p w14:paraId="5854331B" w14:textId="4EC3C971" w:rsidR="004B1838" w:rsidRPr="007D3F71" w:rsidRDefault="004B1838" w:rsidP="00263A86">
            <w:r>
              <w:t>Dansker</w:t>
            </w:r>
          </w:p>
        </w:tc>
        <w:tc>
          <w:tcPr>
            <w:tcW w:w="2271" w:type="dxa"/>
          </w:tcPr>
          <w:p w14:paraId="70CCD561" w14:textId="1EFCC5B5" w:rsidR="004B1838" w:rsidRPr="007D3F71" w:rsidRDefault="004B1838" w:rsidP="00263A86">
            <w:r>
              <w:t>Europæer</w:t>
            </w:r>
          </w:p>
        </w:tc>
        <w:tc>
          <w:tcPr>
            <w:tcW w:w="2271" w:type="dxa"/>
          </w:tcPr>
          <w:p w14:paraId="1AACF7CB" w14:textId="5494E3E0" w:rsidR="004B1838" w:rsidRPr="007D3F71" w:rsidRDefault="004B1838" w:rsidP="00263A86">
            <w:r>
              <w:t>Verdensborger</w:t>
            </w:r>
          </w:p>
        </w:tc>
      </w:tr>
      <w:tr w:rsidR="004B1838" w:rsidRPr="007D3F71" w14:paraId="2637C43B" w14:textId="77777777" w:rsidTr="004B1838">
        <w:tc>
          <w:tcPr>
            <w:tcW w:w="2815" w:type="dxa"/>
          </w:tcPr>
          <w:p w14:paraId="688F5B15" w14:textId="6E85920E" w:rsidR="004B1838" w:rsidRPr="007D3F71" w:rsidRDefault="004B1838" w:rsidP="00263A86">
            <w:r w:rsidRPr="007D3F71">
              <w:t>Værdier</w:t>
            </w:r>
          </w:p>
        </w:tc>
        <w:tc>
          <w:tcPr>
            <w:tcW w:w="2271" w:type="dxa"/>
          </w:tcPr>
          <w:p w14:paraId="6552F847" w14:textId="77777777" w:rsidR="004B1838" w:rsidRPr="007D3F71" w:rsidRDefault="004B1838" w:rsidP="00263A86"/>
        </w:tc>
        <w:tc>
          <w:tcPr>
            <w:tcW w:w="2271" w:type="dxa"/>
          </w:tcPr>
          <w:p w14:paraId="22EAA3F7" w14:textId="77777777" w:rsidR="004B1838" w:rsidRPr="007D3F71" w:rsidRDefault="004B1838" w:rsidP="00263A86"/>
        </w:tc>
        <w:tc>
          <w:tcPr>
            <w:tcW w:w="2271" w:type="dxa"/>
          </w:tcPr>
          <w:p w14:paraId="5EA62073" w14:textId="187D8882" w:rsidR="004B1838" w:rsidRPr="007D3F71" w:rsidRDefault="004B1838" w:rsidP="00263A86"/>
        </w:tc>
      </w:tr>
      <w:tr w:rsidR="004B1838" w:rsidRPr="007D3F71" w14:paraId="37824F3A" w14:textId="77777777" w:rsidTr="004B1838">
        <w:tc>
          <w:tcPr>
            <w:tcW w:w="2815" w:type="dxa"/>
          </w:tcPr>
          <w:p w14:paraId="446FC6DA" w14:textId="4014E5EA" w:rsidR="004B1838" w:rsidRPr="007D3F71" w:rsidRDefault="004B1838" w:rsidP="00263A86">
            <w:r w:rsidRPr="007D3F71">
              <w:t>Ritualer</w:t>
            </w:r>
          </w:p>
        </w:tc>
        <w:tc>
          <w:tcPr>
            <w:tcW w:w="2271" w:type="dxa"/>
          </w:tcPr>
          <w:p w14:paraId="5CBAFCB9" w14:textId="77777777" w:rsidR="004B1838" w:rsidRPr="007D3F71" w:rsidRDefault="004B1838" w:rsidP="00263A86"/>
        </w:tc>
        <w:tc>
          <w:tcPr>
            <w:tcW w:w="2271" w:type="dxa"/>
          </w:tcPr>
          <w:p w14:paraId="2A30ABF7" w14:textId="77777777" w:rsidR="004B1838" w:rsidRPr="007D3F71" w:rsidRDefault="004B1838" w:rsidP="00263A86"/>
        </w:tc>
        <w:tc>
          <w:tcPr>
            <w:tcW w:w="2271" w:type="dxa"/>
          </w:tcPr>
          <w:p w14:paraId="0F2C749C" w14:textId="389E4102" w:rsidR="004B1838" w:rsidRPr="007D3F71" w:rsidRDefault="004B1838" w:rsidP="00263A86"/>
        </w:tc>
      </w:tr>
      <w:tr w:rsidR="004B1838" w:rsidRPr="007D3F71" w14:paraId="2EB882CC" w14:textId="77777777" w:rsidTr="004B1838">
        <w:tc>
          <w:tcPr>
            <w:tcW w:w="2815" w:type="dxa"/>
          </w:tcPr>
          <w:p w14:paraId="1D2633A6" w14:textId="5988F11C" w:rsidR="004B1838" w:rsidRPr="007D3F71" w:rsidRDefault="004B1838" w:rsidP="00263A86">
            <w:r w:rsidRPr="007D3F71">
              <w:t>Helte</w:t>
            </w:r>
          </w:p>
        </w:tc>
        <w:tc>
          <w:tcPr>
            <w:tcW w:w="2271" w:type="dxa"/>
          </w:tcPr>
          <w:p w14:paraId="62B87879" w14:textId="77777777" w:rsidR="004B1838" w:rsidRPr="007D3F71" w:rsidRDefault="004B1838" w:rsidP="00263A86"/>
        </w:tc>
        <w:tc>
          <w:tcPr>
            <w:tcW w:w="2271" w:type="dxa"/>
          </w:tcPr>
          <w:p w14:paraId="5B8A4DD7" w14:textId="77777777" w:rsidR="004B1838" w:rsidRPr="007D3F71" w:rsidRDefault="004B1838" w:rsidP="00263A86"/>
        </w:tc>
        <w:tc>
          <w:tcPr>
            <w:tcW w:w="2271" w:type="dxa"/>
          </w:tcPr>
          <w:p w14:paraId="5D981708" w14:textId="2F86A590" w:rsidR="004B1838" w:rsidRPr="007D3F71" w:rsidRDefault="004B1838" w:rsidP="00263A86"/>
        </w:tc>
      </w:tr>
      <w:tr w:rsidR="004B1838" w:rsidRPr="007D3F71" w14:paraId="6DDE93AD" w14:textId="77777777" w:rsidTr="004B1838">
        <w:tc>
          <w:tcPr>
            <w:tcW w:w="2815" w:type="dxa"/>
          </w:tcPr>
          <w:p w14:paraId="777E8D5E" w14:textId="13451413" w:rsidR="004B1838" w:rsidRPr="007D3F71" w:rsidRDefault="004B1838" w:rsidP="00263A86">
            <w:r w:rsidRPr="007D3F71">
              <w:t>Symboler</w:t>
            </w:r>
          </w:p>
        </w:tc>
        <w:tc>
          <w:tcPr>
            <w:tcW w:w="2271" w:type="dxa"/>
          </w:tcPr>
          <w:p w14:paraId="403131B3" w14:textId="77777777" w:rsidR="004B1838" w:rsidRPr="007D3F71" w:rsidRDefault="004B1838" w:rsidP="00263A86"/>
        </w:tc>
        <w:tc>
          <w:tcPr>
            <w:tcW w:w="2271" w:type="dxa"/>
          </w:tcPr>
          <w:p w14:paraId="2DD2584D" w14:textId="77777777" w:rsidR="004B1838" w:rsidRPr="007D3F71" w:rsidRDefault="004B1838" w:rsidP="00263A86"/>
        </w:tc>
        <w:tc>
          <w:tcPr>
            <w:tcW w:w="2271" w:type="dxa"/>
          </w:tcPr>
          <w:p w14:paraId="4D02575E" w14:textId="01803087" w:rsidR="004B1838" w:rsidRPr="007D3F71" w:rsidRDefault="004B1838" w:rsidP="00263A86"/>
        </w:tc>
      </w:tr>
    </w:tbl>
    <w:p w14:paraId="78F3C9FE" w14:textId="77777777" w:rsidR="00724D4A" w:rsidRDefault="00724D4A" w:rsidP="00552EB8">
      <w:pPr>
        <w:rPr>
          <w:b/>
          <w:bCs/>
        </w:rPr>
      </w:pPr>
    </w:p>
    <w:p w14:paraId="51AAEC22" w14:textId="5D8A7DE3" w:rsidR="00552EB8" w:rsidRDefault="00275E69" w:rsidP="00552EB8">
      <w:pPr>
        <w:rPr>
          <w:b/>
          <w:bCs/>
        </w:rPr>
      </w:pPr>
      <w:r w:rsidRPr="00A2242C">
        <w:rPr>
          <w:b/>
          <w:bCs/>
        </w:rPr>
        <w:t xml:space="preserve">Opgave 2 </w:t>
      </w:r>
      <w:r w:rsidR="00A2242C" w:rsidRPr="00A2242C">
        <w:rPr>
          <w:b/>
          <w:bCs/>
        </w:rPr>
        <w:t>–</w:t>
      </w:r>
      <w:r w:rsidRPr="00A2242C">
        <w:rPr>
          <w:b/>
          <w:bCs/>
        </w:rPr>
        <w:t xml:space="preserve"> </w:t>
      </w:r>
      <w:r w:rsidR="000F5B71">
        <w:rPr>
          <w:b/>
          <w:bCs/>
        </w:rPr>
        <w:t>Forestillede fællesskaber</w:t>
      </w:r>
    </w:p>
    <w:p w14:paraId="6139B0F5" w14:textId="11CFB577" w:rsidR="00D06F40" w:rsidRPr="00D06F40" w:rsidRDefault="00D06F40" w:rsidP="00552EB8">
      <w:pPr>
        <w:rPr>
          <w:b/>
          <w:bCs/>
        </w:rPr>
      </w:pPr>
      <w:r>
        <w:rPr>
          <w:b/>
          <w:bCs/>
        </w:rPr>
        <w:t>Vores nationale identitet skabes jo i forskellige socialiseringsarenaer. Kom med eksempler fra dit eget liv hvor du har ”lært” at blive dansker</w:t>
      </w:r>
      <w:r w:rsidR="00A6439B">
        <w:rPr>
          <w:b/>
          <w:bCs/>
        </w:rPr>
        <w:t xml:space="preserve"> i den primære, sekundære eller tertiære socialiseringsarena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6439B" w14:paraId="29047CF1" w14:textId="77777777" w:rsidTr="00A6439B">
        <w:tc>
          <w:tcPr>
            <w:tcW w:w="4814" w:type="dxa"/>
          </w:tcPr>
          <w:p w14:paraId="09876DF7" w14:textId="4504B2D1" w:rsidR="00A6439B" w:rsidRDefault="00A6439B" w:rsidP="00552EB8">
            <w:r>
              <w:t>Primær socialisering</w:t>
            </w:r>
          </w:p>
        </w:tc>
        <w:tc>
          <w:tcPr>
            <w:tcW w:w="4814" w:type="dxa"/>
          </w:tcPr>
          <w:p w14:paraId="2B925CF2" w14:textId="77777777" w:rsidR="00A6439B" w:rsidRDefault="00A6439B" w:rsidP="00552EB8"/>
        </w:tc>
      </w:tr>
      <w:tr w:rsidR="00A6439B" w14:paraId="10FC21B3" w14:textId="77777777" w:rsidTr="00A6439B">
        <w:tc>
          <w:tcPr>
            <w:tcW w:w="4814" w:type="dxa"/>
          </w:tcPr>
          <w:p w14:paraId="2C39F8E7" w14:textId="55A12454" w:rsidR="00A6439B" w:rsidRDefault="00A6439B" w:rsidP="00552EB8">
            <w:r>
              <w:t>Sekundær socialisering</w:t>
            </w:r>
          </w:p>
        </w:tc>
        <w:tc>
          <w:tcPr>
            <w:tcW w:w="4814" w:type="dxa"/>
          </w:tcPr>
          <w:p w14:paraId="470E771B" w14:textId="77777777" w:rsidR="00A6439B" w:rsidRDefault="00A6439B" w:rsidP="00552EB8"/>
        </w:tc>
      </w:tr>
      <w:tr w:rsidR="00A6439B" w14:paraId="0399F1AF" w14:textId="77777777" w:rsidTr="00A6439B">
        <w:tc>
          <w:tcPr>
            <w:tcW w:w="4814" w:type="dxa"/>
          </w:tcPr>
          <w:p w14:paraId="33A5902B" w14:textId="3AA3A08A" w:rsidR="00A6439B" w:rsidRDefault="00A6439B" w:rsidP="00552EB8">
            <w:r>
              <w:t>Tertiær socialisering</w:t>
            </w:r>
          </w:p>
        </w:tc>
        <w:tc>
          <w:tcPr>
            <w:tcW w:w="4814" w:type="dxa"/>
          </w:tcPr>
          <w:p w14:paraId="719887AD" w14:textId="77777777" w:rsidR="00A6439B" w:rsidRDefault="00A6439B" w:rsidP="00552EB8"/>
        </w:tc>
      </w:tr>
    </w:tbl>
    <w:p w14:paraId="0050F380" w14:textId="77777777" w:rsidR="00C93E4E" w:rsidRDefault="00C93E4E" w:rsidP="00552EB8"/>
    <w:p w14:paraId="1D0636E9" w14:textId="3E2DE207" w:rsidR="00C8392F" w:rsidRPr="004B3078" w:rsidRDefault="00006B46" w:rsidP="00C8392F">
      <w:pPr>
        <w:rPr>
          <w:rFonts w:cstheme="minorHAnsi"/>
          <w:b/>
          <w:bCs/>
        </w:rPr>
      </w:pPr>
      <w:r w:rsidRPr="004B3078">
        <w:rPr>
          <w:b/>
          <w:bCs/>
        </w:rPr>
        <w:t>Fint læs nu teksten</w:t>
      </w:r>
      <w:r w:rsidR="00BE317F" w:rsidRPr="004B3078">
        <w:rPr>
          <w:b/>
          <w:bCs/>
        </w:rPr>
        <w:t xml:space="preserve"> herunder</w:t>
      </w:r>
      <w:r w:rsidR="00BF3E68">
        <w:rPr>
          <w:b/>
          <w:bCs/>
        </w:rPr>
        <w:t xml:space="preserve"> om den russiske identitet</w:t>
      </w:r>
      <w:r w:rsidR="00BE317F" w:rsidRPr="004B3078">
        <w:rPr>
          <w:b/>
          <w:bCs/>
        </w:rPr>
        <w:t xml:space="preserve"> </w:t>
      </w:r>
      <w:r w:rsidR="00C8392F" w:rsidRPr="004B3078">
        <w:rPr>
          <w:b/>
          <w:bCs/>
        </w:rPr>
        <w:t>(</w:t>
      </w:r>
      <w:r w:rsidR="00C8392F" w:rsidRPr="004B3078">
        <w:rPr>
          <w:rFonts w:cstheme="minorHAnsi"/>
          <w:b/>
          <w:bCs/>
        </w:rPr>
        <w:t>Koch-Rasmussen, K. &amp; Kjersgaard, C. B. (2025) Verdens magter. Ræson. s. 413-414, 419)</w:t>
      </w:r>
    </w:p>
    <w:p w14:paraId="278F7655" w14:textId="78349C0E" w:rsidR="00C8392F" w:rsidRDefault="00C8392F" w:rsidP="00C8392F">
      <w:r>
        <w:t>E</w:t>
      </w:r>
      <w:r w:rsidR="008D43C1">
        <w:t xml:space="preserve">t centralt element i det putinistiske styrer er dets brug af medierne, herunder især moderne informations- og </w:t>
      </w:r>
      <w:r w:rsidR="00024428">
        <w:t>kommunikationsteknologier, til at påvirke borgerne. For de russiske ledere er det afgørende at kontrollere det hjemlige informationsrum</w:t>
      </w:r>
      <w:r w:rsidR="00543BF9">
        <w:t xml:space="preserve">. De bruger medierne både kynisk </w:t>
      </w:r>
      <w:r w:rsidR="00543BF9">
        <w:lastRenderedPageBreak/>
        <w:t xml:space="preserve">og kreativt til at levere stort anlagte og centralt definerede informationskampagner og til at drukne alternative </w:t>
      </w:r>
      <w:r w:rsidR="00E2127B">
        <w:t xml:space="preserve">synspunkter i strømmen af </w:t>
      </w:r>
      <w:r w:rsidR="00F164E8">
        <w:t>kontrollerede</w:t>
      </w:r>
      <w:r w:rsidR="00E2127B">
        <w:t xml:space="preserve"> nyheder. Styrets kontrol over informationsrummet har været støt stigende siden 2000’erne men udviklingen blev acce</w:t>
      </w:r>
      <w:r w:rsidR="0082536C">
        <w:t xml:space="preserve">lereret efter invasionen af Ukraine i 2022. Det startede med en orwellsk italesættelse af krigen som en ”særlig militæroperation” og et direkte forbud mod at anvende ordet </w:t>
      </w:r>
      <w:r w:rsidR="009979B5">
        <w:t>”krig” om det, der var i gang. Styret indførte i realiteten krigscensur. Mediernes råderum blev så indsnævret</w:t>
      </w:r>
      <w:r w:rsidR="003E78BA">
        <w:t>, og straffen for at træde ved siden af så høj, at en række kritiske medier selv besluttede at lukke midlertidigt. Senere blev de lukket af myndighederne, som deres licenser fra dem</w:t>
      </w:r>
      <w:r w:rsidR="000473E5">
        <w:t xml:space="preserve">. […]. </w:t>
      </w:r>
    </w:p>
    <w:p w14:paraId="004968D5" w14:textId="158D6952" w:rsidR="000473E5" w:rsidRDefault="000473E5" w:rsidP="00C8392F">
      <w:r>
        <w:t xml:space="preserve">Samtidig blokerede </w:t>
      </w:r>
      <w:r w:rsidR="00784E19">
        <w:t xml:space="preserve">de russiske medier myndigheder adgangen til stadigt flere tjenester, herunder alle platforme </w:t>
      </w:r>
      <w:r w:rsidR="00561861">
        <w:t>under Meta, som bl.a. ejer Facebook og Instagram. De forskellige tjenester blev beskyldt for at udbrede miskred</w:t>
      </w:r>
      <w:r w:rsidR="00142CE7">
        <w:t xml:space="preserve">itering af Ruslands forsvar, og med denne anklage i hånden kunne Roskomnadzor </w:t>
      </w:r>
      <w:r w:rsidR="0001392B">
        <w:t>–</w:t>
      </w:r>
      <w:r w:rsidR="00142CE7">
        <w:t xml:space="preserve"> </w:t>
      </w:r>
      <w:r w:rsidR="0001392B">
        <w:t>den statslige tjeneste, der kontrollere internettet – blokerer for brugernes adgang. […].</w:t>
      </w:r>
    </w:p>
    <w:p w14:paraId="26CDF2C6" w14:textId="28F65EF3" w:rsidR="00006B46" w:rsidRDefault="0001392B" w:rsidP="00552EB8">
      <w:r>
        <w:t xml:space="preserve">Radikaliseringen af det russiske samfund hviler på to ben: Det første ben er en voldsom undertrykkelse, mens det andet ben er en gennemgribende </w:t>
      </w:r>
      <w:r w:rsidRPr="00B158F2">
        <w:rPr>
          <w:b/>
          <w:bCs/>
        </w:rPr>
        <w:t>socialisering</w:t>
      </w:r>
      <w:r>
        <w:t xml:space="preserve"> af befolkningen til støtte for krigen, styret og Putin. </w:t>
      </w:r>
      <w:r w:rsidR="00950A8C">
        <w:t xml:space="preserve">Den patriotiske </w:t>
      </w:r>
      <w:r w:rsidR="00950A8C" w:rsidRPr="00B158F2">
        <w:rPr>
          <w:b/>
          <w:bCs/>
        </w:rPr>
        <w:t>socialisering</w:t>
      </w:r>
      <w:r w:rsidR="00950A8C">
        <w:t xml:space="preserve"> er alle stede, og intet er for småt eller ubetydeligt. Det ses måske mest tydeligt i folkeskolen</w:t>
      </w:r>
      <w:r w:rsidR="004A4EF4">
        <w:t xml:space="preserve">, hvor en række nye fag skal sikre styrets kontrol over </w:t>
      </w:r>
      <w:r w:rsidR="00BA02D0">
        <w:t xml:space="preserve">børnene og deres forhold til krig. Et af de nye fag, introduceret i 2022, er en slags politiks klassens time, hvor </w:t>
      </w:r>
      <w:r w:rsidR="00F164E8">
        <w:t>lærerne</w:t>
      </w:r>
      <w:r w:rsidR="00BA02D0">
        <w:t xml:space="preserve"> skal gennemgå aktuelle politiske emner med </w:t>
      </w:r>
      <w:r w:rsidR="00F164E8">
        <w:t>børnene</w:t>
      </w:r>
      <w:r w:rsidR="00BA02D0">
        <w:t>. Det sker som det første hver mandag morgen. Et andet fag er obligatorisk militærtræning. Det foregår i fritiden, men børnene har pligt til at deltage. Her lærer børnene bl.a. at skyde med maskinpistoler og kaste håndgranater</w:t>
      </w:r>
      <w:r w:rsidR="00F164E8">
        <w:t xml:space="preserve">, og de har gennemgået taktiske øvelser. </w:t>
      </w:r>
    </w:p>
    <w:p w14:paraId="790A87E8" w14:textId="77777777" w:rsidR="00B158F2" w:rsidRDefault="00B158F2" w:rsidP="00552EB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574D" w14:paraId="7C93F0D0" w14:textId="77777777" w:rsidTr="004F574D">
        <w:tc>
          <w:tcPr>
            <w:tcW w:w="4814" w:type="dxa"/>
          </w:tcPr>
          <w:p w14:paraId="2C921DA3" w14:textId="7E0DC75D" w:rsidR="004F574D" w:rsidRDefault="004F574D" w:rsidP="00552EB8">
            <w:r>
              <w:t xml:space="preserve">Overvej herefter hvordan russere </w:t>
            </w:r>
            <w:r w:rsidR="00B158F2">
              <w:t>lære/socialiseres</w:t>
            </w:r>
            <w:r w:rsidR="00503B8B">
              <w:t xml:space="preserve"> til krig som en</w:t>
            </w:r>
            <w:r w:rsidR="00B158F2">
              <w:t xml:space="preserve"> naturlig</w:t>
            </w:r>
            <w:r w:rsidR="00503B8B">
              <w:t xml:space="preserve"> del af den russiske nationale identitet</w:t>
            </w:r>
            <w:r w:rsidR="00B158F2">
              <w:t>.</w:t>
            </w:r>
          </w:p>
        </w:tc>
        <w:tc>
          <w:tcPr>
            <w:tcW w:w="4814" w:type="dxa"/>
          </w:tcPr>
          <w:p w14:paraId="7C87B0BB" w14:textId="77777777" w:rsidR="004F574D" w:rsidRDefault="004F574D" w:rsidP="00552EB8"/>
        </w:tc>
      </w:tr>
    </w:tbl>
    <w:p w14:paraId="528267B2" w14:textId="77777777" w:rsidR="004F574D" w:rsidRDefault="004F574D" w:rsidP="00552EB8"/>
    <w:p w14:paraId="12AA5CCB" w14:textId="77777777" w:rsidR="00B158F2" w:rsidRDefault="00B158F2" w:rsidP="00552EB8"/>
    <w:p w14:paraId="04DAC948" w14:textId="0993E2BC" w:rsidR="00D4745D" w:rsidRDefault="00DD6501" w:rsidP="00552EB8">
      <w:pPr>
        <w:rPr>
          <w:b/>
          <w:bCs/>
        </w:rPr>
      </w:pPr>
      <w:r w:rsidRPr="00050747">
        <w:rPr>
          <w:b/>
          <w:bCs/>
        </w:rPr>
        <w:t>Opgave 3</w:t>
      </w:r>
      <w:r w:rsidR="00DE3C65" w:rsidRPr="00050747">
        <w:rPr>
          <w:b/>
          <w:bCs/>
        </w:rPr>
        <w:t xml:space="preserve"> –</w:t>
      </w:r>
      <w:r w:rsidR="007A301C">
        <w:rPr>
          <w:b/>
          <w:bCs/>
        </w:rPr>
        <w:t xml:space="preserve"> </w:t>
      </w:r>
      <w:r w:rsidR="0061605E">
        <w:rPr>
          <w:b/>
          <w:bCs/>
        </w:rPr>
        <w:t>Rigsfællesskabet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28E3" w14:paraId="434A6C80" w14:textId="77777777" w:rsidTr="007A28E3">
        <w:tc>
          <w:tcPr>
            <w:tcW w:w="4814" w:type="dxa"/>
          </w:tcPr>
          <w:p w14:paraId="111D8E64" w14:textId="6319C040" w:rsidR="007A28E3" w:rsidRPr="007A28E3" w:rsidRDefault="007A28E3" w:rsidP="007A28E3">
            <w:r w:rsidRPr="007A28E3">
              <w:t>Overvej til sidst hvordan den grønlandske og danske nationale identitet adskiller sig fra hinanden?</w:t>
            </w:r>
            <w:r w:rsidR="009C7C6A">
              <w:t xml:space="preserve"> Lav evt. to slides et om dansk identitet og et om </w:t>
            </w:r>
            <w:r w:rsidR="00D61F2D">
              <w:t xml:space="preserve">grønlandsk. </w:t>
            </w:r>
          </w:p>
        </w:tc>
        <w:tc>
          <w:tcPr>
            <w:tcW w:w="4814" w:type="dxa"/>
          </w:tcPr>
          <w:p w14:paraId="35EC3F70" w14:textId="77777777" w:rsidR="007A28E3" w:rsidRDefault="007A28E3" w:rsidP="00552EB8">
            <w:pPr>
              <w:rPr>
                <w:b/>
                <w:bCs/>
              </w:rPr>
            </w:pPr>
          </w:p>
        </w:tc>
      </w:tr>
      <w:tr w:rsidR="007A28E3" w14:paraId="73A7AB83" w14:textId="77777777" w:rsidTr="007A28E3">
        <w:tc>
          <w:tcPr>
            <w:tcW w:w="4814" w:type="dxa"/>
          </w:tcPr>
          <w:p w14:paraId="193148EA" w14:textId="78DDBD63" w:rsidR="007A28E3" w:rsidRPr="007A28E3" w:rsidRDefault="007A28E3" w:rsidP="00552EB8">
            <w:r w:rsidRPr="007A28E3">
              <w:t>Hvorfor ønsker grønlænderne ikke at være en del Rigsfællesskabet?</w:t>
            </w:r>
          </w:p>
        </w:tc>
        <w:tc>
          <w:tcPr>
            <w:tcW w:w="4814" w:type="dxa"/>
          </w:tcPr>
          <w:p w14:paraId="12C6E764" w14:textId="77777777" w:rsidR="007A28E3" w:rsidRDefault="007A28E3" w:rsidP="00552EB8">
            <w:pPr>
              <w:rPr>
                <w:b/>
                <w:bCs/>
              </w:rPr>
            </w:pPr>
          </w:p>
        </w:tc>
      </w:tr>
    </w:tbl>
    <w:p w14:paraId="11A0752D" w14:textId="77777777" w:rsidR="007A28E3" w:rsidRDefault="007A28E3" w:rsidP="00552EB8">
      <w:pPr>
        <w:rPr>
          <w:b/>
          <w:bCs/>
        </w:rPr>
      </w:pPr>
    </w:p>
    <w:p w14:paraId="351E0246" w14:textId="77777777" w:rsidR="00391D7A" w:rsidRDefault="00391D7A" w:rsidP="00224DBE"/>
    <w:p w14:paraId="5336FFA6" w14:textId="400311C7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4 -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28B7" w14:textId="77777777" w:rsidR="002A116F" w:rsidRDefault="002A116F" w:rsidP="00C6022D">
      <w:pPr>
        <w:spacing w:after="0" w:line="240" w:lineRule="auto"/>
      </w:pPr>
      <w:r>
        <w:separator/>
      </w:r>
    </w:p>
  </w:endnote>
  <w:endnote w:type="continuationSeparator" w:id="0">
    <w:p w14:paraId="01A28298" w14:textId="77777777" w:rsidR="002A116F" w:rsidRDefault="002A116F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F057" w14:textId="77777777" w:rsidR="002A116F" w:rsidRDefault="002A116F" w:rsidP="00C6022D">
      <w:pPr>
        <w:spacing w:after="0" w:line="240" w:lineRule="auto"/>
      </w:pPr>
      <w:r>
        <w:separator/>
      </w:r>
    </w:p>
  </w:footnote>
  <w:footnote w:type="continuationSeparator" w:id="0">
    <w:p w14:paraId="050E0F54" w14:textId="77777777" w:rsidR="002A116F" w:rsidRDefault="002A116F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E0715"/>
    <w:multiLevelType w:val="hybridMultilevel"/>
    <w:tmpl w:val="BCFEDA84"/>
    <w:lvl w:ilvl="0" w:tplc="8604B44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7DCBB7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C62EFF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60498C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7C8F1C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6E4D7A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E288B2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E6CC0F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73A712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2"/>
  </w:num>
  <w:num w:numId="2" w16cid:durableId="712392154">
    <w:abstractNumId w:val="0"/>
  </w:num>
  <w:num w:numId="3" w16cid:durableId="47005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06B46"/>
    <w:rsid w:val="0001392B"/>
    <w:rsid w:val="00024428"/>
    <w:rsid w:val="000473E5"/>
    <w:rsid w:val="00050747"/>
    <w:rsid w:val="00064DF0"/>
    <w:rsid w:val="00072392"/>
    <w:rsid w:val="000A2EE0"/>
    <w:rsid w:val="000A373E"/>
    <w:rsid w:val="000A4721"/>
    <w:rsid w:val="000D0E9B"/>
    <w:rsid w:val="000F2E21"/>
    <w:rsid w:val="000F5B71"/>
    <w:rsid w:val="00113A97"/>
    <w:rsid w:val="00142CE7"/>
    <w:rsid w:val="00152A89"/>
    <w:rsid w:val="001707DA"/>
    <w:rsid w:val="0018213C"/>
    <w:rsid w:val="00191FEC"/>
    <w:rsid w:val="001C2FC9"/>
    <w:rsid w:val="001D6FEC"/>
    <w:rsid w:val="001F63A9"/>
    <w:rsid w:val="00224DBE"/>
    <w:rsid w:val="00226E30"/>
    <w:rsid w:val="0024063D"/>
    <w:rsid w:val="00263A86"/>
    <w:rsid w:val="00263DC8"/>
    <w:rsid w:val="00275E69"/>
    <w:rsid w:val="00284FBB"/>
    <w:rsid w:val="00290F3A"/>
    <w:rsid w:val="0029139B"/>
    <w:rsid w:val="002A116F"/>
    <w:rsid w:val="002F044D"/>
    <w:rsid w:val="00325204"/>
    <w:rsid w:val="0033471D"/>
    <w:rsid w:val="003479CB"/>
    <w:rsid w:val="00350ADD"/>
    <w:rsid w:val="00391D7A"/>
    <w:rsid w:val="003A4675"/>
    <w:rsid w:val="003E78BA"/>
    <w:rsid w:val="003F138F"/>
    <w:rsid w:val="004239F2"/>
    <w:rsid w:val="00432F34"/>
    <w:rsid w:val="00462CBB"/>
    <w:rsid w:val="00466825"/>
    <w:rsid w:val="004A2D74"/>
    <w:rsid w:val="004A4EF4"/>
    <w:rsid w:val="004B1838"/>
    <w:rsid w:val="004B3078"/>
    <w:rsid w:val="004C7973"/>
    <w:rsid w:val="004F574D"/>
    <w:rsid w:val="00501D7D"/>
    <w:rsid w:val="00503B8B"/>
    <w:rsid w:val="00510839"/>
    <w:rsid w:val="00543BF9"/>
    <w:rsid w:val="00552EB8"/>
    <w:rsid w:val="00561861"/>
    <w:rsid w:val="005B26AB"/>
    <w:rsid w:val="00603CD1"/>
    <w:rsid w:val="0061605E"/>
    <w:rsid w:val="00675DC7"/>
    <w:rsid w:val="006826D5"/>
    <w:rsid w:val="007066CC"/>
    <w:rsid w:val="00720094"/>
    <w:rsid w:val="00724D4A"/>
    <w:rsid w:val="0073505A"/>
    <w:rsid w:val="00770B8B"/>
    <w:rsid w:val="00777934"/>
    <w:rsid w:val="00784E19"/>
    <w:rsid w:val="00797902"/>
    <w:rsid w:val="007A28E3"/>
    <w:rsid w:val="007A301C"/>
    <w:rsid w:val="007D3F71"/>
    <w:rsid w:val="007E56E1"/>
    <w:rsid w:val="007E5F25"/>
    <w:rsid w:val="0082536C"/>
    <w:rsid w:val="00826E08"/>
    <w:rsid w:val="008661EF"/>
    <w:rsid w:val="00897E47"/>
    <w:rsid w:val="008A4660"/>
    <w:rsid w:val="008D43C1"/>
    <w:rsid w:val="008E5A25"/>
    <w:rsid w:val="00906208"/>
    <w:rsid w:val="00910F0F"/>
    <w:rsid w:val="00934D27"/>
    <w:rsid w:val="0094386B"/>
    <w:rsid w:val="00944159"/>
    <w:rsid w:val="00944B89"/>
    <w:rsid w:val="00950A8C"/>
    <w:rsid w:val="009979B5"/>
    <w:rsid w:val="009C1D11"/>
    <w:rsid w:val="009C7C6A"/>
    <w:rsid w:val="009F165F"/>
    <w:rsid w:val="00A2242C"/>
    <w:rsid w:val="00A6439B"/>
    <w:rsid w:val="00A95EA7"/>
    <w:rsid w:val="00AC712D"/>
    <w:rsid w:val="00AD3654"/>
    <w:rsid w:val="00AF568F"/>
    <w:rsid w:val="00AF73F4"/>
    <w:rsid w:val="00B12482"/>
    <w:rsid w:val="00B124E5"/>
    <w:rsid w:val="00B12A61"/>
    <w:rsid w:val="00B158F2"/>
    <w:rsid w:val="00B455EF"/>
    <w:rsid w:val="00B46468"/>
    <w:rsid w:val="00B87ABB"/>
    <w:rsid w:val="00BA02D0"/>
    <w:rsid w:val="00BD67CB"/>
    <w:rsid w:val="00BE317F"/>
    <w:rsid w:val="00BE3D12"/>
    <w:rsid w:val="00BF3E68"/>
    <w:rsid w:val="00C10966"/>
    <w:rsid w:val="00C538B9"/>
    <w:rsid w:val="00C6022D"/>
    <w:rsid w:val="00C8392F"/>
    <w:rsid w:val="00C910C8"/>
    <w:rsid w:val="00C93E4E"/>
    <w:rsid w:val="00C979FE"/>
    <w:rsid w:val="00D06F40"/>
    <w:rsid w:val="00D16950"/>
    <w:rsid w:val="00D21FCC"/>
    <w:rsid w:val="00D4745D"/>
    <w:rsid w:val="00D61F2D"/>
    <w:rsid w:val="00D62FD3"/>
    <w:rsid w:val="00D64F09"/>
    <w:rsid w:val="00D920D4"/>
    <w:rsid w:val="00DC625C"/>
    <w:rsid w:val="00DD04BD"/>
    <w:rsid w:val="00DD1523"/>
    <w:rsid w:val="00DD6501"/>
    <w:rsid w:val="00DE3C65"/>
    <w:rsid w:val="00E003FB"/>
    <w:rsid w:val="00E2127B"/>
    <w:rsid w:val="00E24179"/>
    <w:rsid w:val="00E63861"/>
    <w:rsid w:val="00ED021C"/>
    <w:rsid w:val="00ED1CB4"/>
    <w:rsid w:val="00EF1735"/>
    <w:rsid w:val="00EF22EE"/>
    <w:rsid w:val="00F15EA2"/>
    <w:rsid w:val="00F164E8"/>
    <w:rsid w:val="00F36C4D"/>
    <w:rsid w:val="00F40C15"/>
    <w:rsid w:val="00F40EFB"/>
    <w:rsid w:val="00F74256"/>
    <w:rsid w:val="00FC2C0F"/>
    <w:rsid w:val="00FE241D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544</Words>
  <Characters>3140</Characters>
  <Application>Microsoft Office Word</Application>
  <DocSecurity>0</DocSecurity>
  <Lines>108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61</cp:revision>
  <dcterms:created xsi:type="dcterms:W3CDTF">2026-02-05T07:59:00Z</dcterms:created>
  <dcterms:modified xsi:type="dcterms:W3CDTF">2026-02-07T10:25:00Z</dcterms:modified>
</cp:coreProperties>
</file>