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B7ED" w14:textId="20D37E2D" w:rsidR="008D4BF0" w:rsidRPr="00035660" w:rsidRDefault="00E05F44">
      <w:pPr>
        <w:rPr>
          <w:b/>
          <w:bCs/>
          <w:sz w:val="28"/>
          <w:szCs w:val="28"/>
        </w:rPr>
      </w:pPr>
      <w:r w:rsidRPr="00035660">
        <w:rPr>
          <w:b/>
          <w:bCs/>
          <w:sz w:val="28"/>
          <w:szCs w:val="28"/>
        </w:rPr>
        <w:t>Familien som resonanshavn på et stormfuldt hav</w:t>
      </w:r>
    </w:p>
    <w:p w14:paraId="67B144D3" w14:textId="2A285C63" w:rsidR="00083C61" w:rsidRPr="00035660" w:rsidRDefault="00035660">
      <w:pPr>
        <w:rPr>
          <w:i/>
          <w:iCs/>
        </w:rPr>
      </w:pPr>
      <w:r w:rsidRPr="00035660">
        <w:rPr>
          <w:i/>
          <w:iCs/>
        </w:rPr>
        <w:t xml:space="preserve">Af </w:t>
      </w:r>
      <w:r w:rsidR="00083C61" w:rsidRPr="00035660">
        <w:rPr>
          <w:i/>
          <w:iCs/>
        </w:rPr>
        <w:t>Hartmut Ros</w:t>
      </w:r>
      <w:r w:rsidRPr="00035660">
        <w:rPr>
          <w:i/>
          <w:iCs/>
        </w:rPr>
        <w:t>a</w:t>
      </w:r>
    </w:p>
    <w:p w14:paraId="432A07E4" w14:textId="1908DA20" w:rsidR="00E05F44" w:rsidRDefault="00E05F44">
      <w:r>
        <w:t>Den dominerende allokationsmodus</w:t>
      </w:r>
      <w:r>
        <w:rPr>
          <w:rStyle w:val="Fodnotehenvisning"/>
        </w:rPr>
        <w:footnoteReference w:id="1"/>
      </w:r>
      <w:r>
        <w:t xml:space="preserve"> i mordene samfund er konkurrence. Hverken rigdom, varer eller livschancer, magt, privilegier eller positioner, anerkendelse, status eller sågar venner og livspartnere bliver tildelt eller opnået ved forhandling, men hovedsageligt givet eller tildelt konkurrencemæssigt. Som konsekvens tager verden sig for moderne og a </w:t>
      </w:r>
      <w:proofErr w:type="spellStart"/>
      <w:r>
        <w:t>fortiori</w:t>
      </w:r>
      <w:proofErr w:type="spellEnd"/>
      <w:r>
        <w:rPr>
          <w:rStyle w:val="Fodnotehenvisning"/>
        </w:rPr>
        <w:footnoteReference w:id="2"/>
      </w:r>
      <w:r>
        <w:t xml:space="preserve"> senmoderne subjekter ikke sjældent ud som et ’hajbassin’, hvor det gælder om at være hurtigere og bedre end de andre. Den, der mister sin konkurrencedygtighed, risikerer at gå under og at forsvinde fra markedet. En således </w:t>
      </w:r>
      <w:proofErr w:type="spellStart"/>
      <w:r>
        <w:t>konceptualiseret</w:t>
      </w:r>
      <w:proofErr w:type="spellEnd"/>
      <w:r>
        <w:t xml:space="preserve"> og opfattet (social-)verden frembyder umiddelbart få resonansflader; konkurrencen etablerer og institutionaliserer </w:t>
      </w:r>
      <w:proofErr w:type="spellStart"/>
      <w:r>
        <w:t>repulsive</w:t>
      </w:r>
      <w:proofErr w:type="spellEnd"/>
      <w:r>
        <w:rPr>
          <w:rStyle w:val="Fodnotehenvisning"/>
        </w:rPr>
        <w:footnoteReference w:id="3"/>
      </w:r>
      <w:r>
        <w:t xml:space="preserve"> eller i hvert fald indifferente</w:t>
      </w:r>
      <w:r>
        <w:rPr>
          <w:rStyle w:val="Fodnotehenvisning"/>
        </w:rPr>
        <w:footnoteReference w:id="4"/>
      </w:r>
      <w:r>
        <w:t xml:space="preserve"> verdensrelationer. Man kan, når man ser bort fra det særlige tilfælde af konkurrence i sport og leg, ikke på samme tid resonere og konkurrerer med andre.</w:t>
      </w:r>
    </w:p>
    <w:p w14:paraId="60AC5E4C" w14:textId="0C2904E0" w:rsidR="00E05F44" w:rsidRDefault="00E05F44">
      <w:r>
        <w:t xml:space="preserve">Som essentielt kontrastfelt og uomgængelig kompensation for at tilfredsstille behovet for og trangen til resonans har den moderne (til en begyndelse: borgerlige) kultur imidlertid etableret og </w:t>
      </w:r>
      <w:proofErr w:type="spellStart"/>
      <w:r>
        <w:t>konceptualiseret</w:t>
      </w:r>
      <w:proofErr w:type="spellEnd"/>
      <w:r>
        <w:t xml:space="preserve"> </w:t>
      </w:r>
      <w:r w:rsidRPr="00E05F44">
        <w:rPr>
          <w:i/>
          <w:iCs/>
        </w:rPr>
        <w:t>familien</w:t>
      </w:r>
      <w:r>
        <w:t xml:space="preserve"> som den ene, centrale modsfære, der forekommer subjekterne at være den (måske sidste) ’resonanshavn’ i en ellers indifferent eller endog fjendtlig verden af kamp og konkurrence.</w:t>
      </w:r>
    </w:p>
    <w:p w14:paraId="2CB1AD09" w14:textId="3611359A" w:rsidR="00E05F44" w:rsidRDefault="00E05F44">
      <w:r>
        <w:t>Gennemslagskraften af denne dikotomiske</w:t>
      </w:r>
      <w:r>
        <w:rPr>
          <w:rStyle w:val="Fodnotehenvisning"/>
        </w:rPr>
        <w:footnoteReference w:id="5"/>
      </w:r>
      <w:r>
        <w:t xml:space="preserve"> model for et beskyttende indre rum af </w:t>
      </w:r>
      <w:proofErr w:type="spellStart"/>
      <w:r>
        <w:t>resonante</w:t>
      </w:r>
      <w:proofErr w:type="spellEnd"/>
      <w:r>
        <w:t xml:space="preserve"> familierelationer på den ene side og for den offentlige sfæres ’fjendtlige liv’ på den anden side viser sig på alle planer af den kulturelle tilværelse i moderne, ikke blot vestlige, samfund. Først og fremmest findes den i de ’klassiske’ filosofisk-litterære og religiøse kulturdokumenter fra Biblen til Schillers </w:t>
      </w:r>
      <w:r w:rsidRPr="00E05F44">
        <w:rPr>
          <w:i/>
          <w:iCs/>
        </w:rPr>
        <w:t>Klokken</w:t>
      </w:r>
      <w:r>
        <w:t>. Allerede den bibelske julefortælling - og endnu mere den ved denne grundlagte kulturelle juleskik - iscenesætter modsætningen mellem en dels fjendtlig (</w:t>
      </w:r>
      <w:r w:rsidRPr="00E05F44">
        <w:rPr>
          <w:i/>
          <w:iCs/>
        </w:rPr>
        <w:t>Herodes</w:t>
      </w:r>
      <w:r>
        <w:t>), dels udeltagende-ligegyldig socialverden (</w:t>
      </w:r>
      <w:r w:rsidRPr="00544E7E">
        <w:rPr>
          <w:i/>
          <w:iCs/>
        </w:rPr>
        <w:t>herberget</w:t>
      </w:r>
      <w:r>
        <w:t>) og et ”helligt” familierum, der domineres af den sociale resonans mellem Maria og Jusef såvel som mellem mor og barn (eller forældre og børn) og derudover af vertikal resonans i englenes og stjernernes sfære, hvor</w:t>
      </w:r>
      <w:r w:rsidR="00544E7E">
        <w:t xml:space="preserve">i så også den tingslige-animalske verden af okse, æsel, stald og krybbe inddrages: I den </w:t>
      </w:r>
      <w:r w:rsidR="00544E7E" w:rsidRPr="00544E7E">
        <w:rPr>
          <w:i/>
          <w:iCs/>
        </w:rPr>
        <w:t>som Fremmedgørelseszones</w:t>
      </w:r>
      <w:r w:rsidR="00544E7E">
        <w:t xml:space="preserve"> sakrale</w:t>
      </w:r>
      <w:r w:rsidR="00544E7E">
        <w:rPr>
          <w:rStyle w:val="Fodnotehenvisning"/>
        </w:rPr>
        <w:footnoteReference w:id="6"/>
      </w:r>
      <w:r w:rsidR="00544E7E">
        <w:t xml:space="preserve"> resonanstrekant synes der at være indskrevet en skabelseshistorisk dybderesonans, hvorfra kun den modsatrettede socialverden forbliver udelukket. Som konsekvens fejrer det vestlige eller det kristelige kulturrum endnu i dag julen som familiens fest og </w:t>
      </w:r>
      <w:proofErr w:type="gramStart"/>
      <w:r w:rsidR="00544E7E">
        <w:t>følgelig</w:t>
      </w:r>
      <w:proofErr w:type="gramEnd"/>
      <w:r w:rsidR="00544E7E">
        <w:t xml:space="preserve"> som en fest, hvorved </w:t>
      </w:r>
      <w:proofErr w:type="spellStart"/>
      <w:r w:rsidR="00544E7E">
        <w:t>repulsion</w:t>
      </w:r>
      <w:proofErr w:type="spellEnd"/>
      <w:r w:rsidR="00544E7E">
        <w:t xml:space="preserve"> og ligegyldighed bliver overvundet - at de indre-familiære resonansblokader ofte bliver synlige og fremmedgørelsespotentialet udløst netop her, kan enhver par- og familieterapeut aflægge beretning om.</w:t>
      </w:r>
    </w:p>
    <w:p w14:paraId="7B7D4F8E" w14:textId="1F85D07F" w:rsidR="00544E7E" w:rsidRDefault="00544E7E">
      <w:r>
        <w:t xml:space="preserve">Iscenesættelsen af en ’familiens fest’ som et sted for eksistentiel transcendens deler julehistorien imidlertid med mere eller mindre alle filmproduktioner fra Hollywood (eller </w:t>
      </w:r>
      <w:proofErr w:type="spellStart"/>
      <w:r>
        <w:t>Bollywood</w:t>
      </w:r>
      <w:proofErr w:type="spellEnd"/>
      <w:r>
        <w:t>)</w:t>
      </w:r>
      <w:r w:rsidR="000828AF">
        <w:t xml:space="preserve">. </w:t>
      </w:r>
      <w:r w:rsidR="009B0B7B">
        <w:t>Faktisk er det forbløffende</w:t>
      </w:r>
      <w:r w:rsidR="00E84CB8">
        <w:t>, me</w:t>
      </w:r>
      <w:r w:rsidR="0001763D">
        <w:t xml:space="preserve">d hvilken </w:t>
      </w:r>
      <w:proofErr w:type="spellStart"/>
      <w:r w:rsidR="0001763D">
        <w:t>gennemtrængen</w:t>
      </w:r>
      <w:proofErr w:type="spellEnd"/>
      <w:r w:rsidR="0001763D">
        <w:t xml:space="preserve"> s</w:t>
      </w:r>
      <w:r w:rsidR="007B1A3C">
        <w:t xml:space="preserve">elv film med ellers komplekse handlingstråde og et krævende intellektuelt niveau </w:t>
      </w:r>
      <w:r w:rsidR="00B13802">
        <w:t>(især i codaen) igen og igen - og hvad angår inklusionen i familiens resonanshavn</w:t>
      </w:r>
      <w:r w:rsidR="00C66B2D">
        <w:t xml:space="preserve"> absolut også i senmoderne varianter - besværger </w:t>
      </w:r>
      <w:proofErr w:type="spellStart"/>
      <w:r w:rsidR="00C66B2D" w:rsidRPr="00C66B2D">
        <w:rPr>
          <w:i/>
          <w:iCs/>
        </w:rPr>
        <w:t>family</w:t>
      </w:r>
      <w:proofErr w:type="spellEnd"/>
      <w:r w:rsidR="00C66B2D" w:rsidRPr="00C66B2D">
        <w:rPr>
          <w:i/>
          <w:iCs/>
        </w:rPr>
        <w:t xml:space="preserve"> </w:t>
      </w:r>
      <w:proofErr w:type="spellStart"/>
      <w:r w:rsidR="00C66B2D" w:rsidRPr="00C66B2D">
        <w:rPr>
          <w:i/>
          <w:iCs/>
        </w:rPr>
        <w:t>values</w:t>
      </w:r>
      <w:proofErr w:type="spellEnd"/>
      <w:r w:rsidR="00C66B2D">
        <w:t xml:space="preserve">, hvis </w:t>
      </w:r>
      <w:r w:rsidR="00C21DA3">
        <w:t>centrale kvalitet efter min opfattelse netop består i</w:t>
      </w:r>
      <w:r w:rsidR="00DF09EB">
        <w:t>, at de i en verden, der ellers er domineret af kriminelle og tyve, mordere og forrædere, skur</w:t>
      </w:r>
      <w:r w:rsidR="00DF67C8">
        <w:t xml:space="preserve">ke og </w:t>
      </w:r>
      <w:proofErr w:type="spellStart"/>
      <w:r w:rsidR="00DF67C8">
        <w:t>aliens</w:t>
      </w:r>
      <w:proofErr w:type="spellEnd"/>
      <w:r w:rsidR="00DF67C8">
        <w:t xml:space="preserve"> eller af knaldhårde </w:t>
      </w:r>
      <w:proofErr w:type="spellStart"/>
      <w:r w:rsidR="00DF67C8">
        <w:t>cops</w:t>
      </w:r>
      <w:proofErr w:type="spellEnd"/>
      <w:r w:rsidR="00DF67C8">
        <w:t xml:space="preserve">, politikere, journalister og forretningsfolk, tilbyder et </w:t>
      </w:r>
      <w:proofErr w:type="spellStart"/>
      <w:r w:rsidR="00DF67C8">
        <w:t>ankerpunkt</w:t>
      </w:r>
      <w:proofErr w:type="spellEnd"/>
      <w:r w:rsidR="00DF67C8">
        <w:t xml:space="preserve"> for empati, h</w:t>
      </w:r>
      <w:r w:rsidR="00E12CA1">
        <w:t>engivelse, opmærksomhed, mening, betydning, kort sagt</w:t>
      </w:r>
      <w:r w:rsidR="00083C61">
        <w:t>: for resonans.</w:t>
      </w:r>
    </w:p>
    <w:p w14:paraId="485D27B0" w14:textId="7B30B2D5" w:rsidR="00083C61" w:rsidRPr="00B15A8D" w:rsidRDefault="004D573A">
      <w:pPr>
        <w:rPr>
          <w:b/>
          <w:bCs/>
          <w:sz w:val="24"/>
          <w:szCs w:val="24"/>
        </w:rPr>
      </w:pPr>
      <w:r w:rsidRPr="00B15A8D">
        <w:rPr>
          <w:b/>
          <w:bCs/>
          <w:sz w:val="24"/>
          <w:szCs w:val="24"/>
        </w:rPr>
        <w:lastRenderedPageBreak/>
        <w:t>Resonans</w:t>
      </w:r>
    </w:p>
    <w:p w14:paraId="5E88E10C" w14:textId="670E5EC4" w:rsidR="00F2472E" w:rsidRDefault="00F2472E">
      <w:r>
        <w:t>Resonans er en form for verdensforhold, der dannes ved af</w:t>
      </w:r>
      <w:r w:rsidR="003B63A0">
        <w:sym w:font="Wingdings" w:char="F0DF"/>
      </w:r>
      <w:proofErr w:type="spellStart"/>
      <w:r w:rsidR="003B63A0">
        <w:t>fekt</w:t>
      </w:r>
      <w:proofErr w:type="spellEnd"/>
      <w:r w:rsidR="003B63A0">
        <w:t xml:space="preserve"> og e</w:t>
      </w:r>
      <w:r w:rsidR="00FC0C27">
        <w:sym w:font="Wingdings" w:char="F0E0"/>
      </w:r>
      <w:r w:rsidR="00DC652F">
        <w:t xml:space="preserve">motion, </w:t>
      </w:r>
      <w:proofErr w:type="spellStart"/>
      <w:r w:rsidR="00DC652F">
        <w:t>intrinsisk</w:t>
      </w:r>
      <w:proofErr w:type="spellEnd"/>
      <w:r w:rsidR="00DC652F">
        <w:t xml:space="preserve"> interesse og forventninger til egen formåen</w:t>
      </w:r>
      <w:r w:rsidR="00745C63">
        <w:t>, hvori subjekt og verden gensidigt berører og samtidig transformerer hinanden.</w:t>
      </w:r>
    </w:p>
    <w:p w14:paraId="6B03BB8E" w14:textId="0E48B7B3" w:rsidR="00745C63" w:rsidRDefault="00D77420">
      <w:r>
        <w:t>Resonans er ikke nogen ekko-, men en svarrelation; den forudsætter, at begge sider taler med deres egens stemme, og dette er kun muligt, hvor stærke vurderinger ber</w:t>
      </w:r>
      <w:r w:rsidR="00302A6A">
        <w:t>øres. Resonans implicerer et moment af grundlæggende utilgængelighed.</w:t>
      </w:r>
    </w:p>
    <w:p w14:paraId="44DA8BD0" w14:textId="77777777" w:rsidR="00302A6A" w:rsidRDefault="00302A6A"/>
    <w:p w14:paraId="1F44FE25" w14:textId="709D4976" w:rsidR="00302A6A" w:rsidRPr="00B15A8D" w:rsidRDefault="00397C45">
      <w:pPr>
        <w:rPr>
          <w:b/>
          <w:bCs/>
          <w:sz w:val="24"/>
          <w:szCs w:val="24"/>
        </w:rPr>
      </w:pPr>
      <w:r w:rsidRPr="00B15A8D">
        <w:rPr>
          <w:b/>
          <w:bCs/>
          <w:sz w:val="24"/>
          <w:szCs w:val="24"/>
        </w:rPr>
        <w:t>Fremmedgørelse</w:t>
      </w:r>
    </w:p>
    <w:p w14:paraId="63655063" w14:textId="4C25E1A0" w:rsidR="00397C45" w:rsidRDefault="00397C45">
      <w:r>
        <w:t>Fremmedgørelse betegner en specifik form for forhold til verden, hvor subjekt og verden står indifferent eller fjendtligt (</w:t>
      </w:r>
      <w:proofErr w:type="spellStart"/>
      <w:r>
        <w:t>repulsivt</w:t>
      </w:r>
      <w:proofErr w:type="spellEnd"/>
      <w:r>
        <w:t xml:space="preserve">) </w:t>
      </w:r>
      <w:r w:rsidR="00DE41A8">
        <w:t xml:space="preserve">og </w:t>
      </w:r>
      <w:proofErr w:type="gramStart"/>
      <w:r w:rsidR="00DE41A8">
        <w:t>følgelig</w:t>
      </w:r>
      <w:proofErr w:type="gramEnd"/>
      <w:r w:rsidR="00DE41A8">
        <w:t xml:space="preserve"> inderligt </w:t>
      </w:r>
      <w:proofErr w:type="spellStart"/>
      <w:r w:rsidR="00DE41A8">
        <w:t>uforbundet</w:t>
      </w:r>
      <w:proofErr w:type="spellEnd"/>
      <w:r w:rsidR="00DE41A8">
        <w:t xml:space="preserve"> over for hinanden. Derfor kan fremmedgørelse også bestemmes som en </w:t>
      </w:r>
      <w:proofErr w:type="spellStart"/>
      <w:r w:rsidR="00DE41A8" w:rsidRPr="00A278AC">
        <w:rPr>
          <w:i/>
          <w:iCs/>
        </w:rPr>
        <w:t>relationsløs</w:t>
      </w:r>
      <w:proofErr w:type="spellEnd"/>
      <w:r w:rsidR="00DE41A8" w:rsidRPr="00A278AC">
        <w:rPr>
          <w:i/>
          <w:iCs/>
        </w:rPr>
        <w:t xml:space="preserve"> relation</w:t>
      </w:r>
      <w:r w:rsidR="00A278AC">
        <w:t xml:space="preserve"> (</w:t>
      </w:r>
      <w:proofErr w:type="spellStart"/>
      <w:r w:rsidR="00A278AC">
        <w:t>Rahel</w:t>
      </w:r>
      <w:proofErr w:type="spellEnd"/>
      <w:r w:rsidR="00A278AC">
        <w:t xml:space="preserve"> </w:t>
      </w:r>
      <w:proofErr w:type="spellStart"/>
      <w:r w:rsidR="00A278AC">
        <w:t>Jaeggi</w:t>
      </w:r>
      <w:proofErr w:type="spellEnd"/>
      <w:r w:rsidR="00A278AC">
        <w:t>).</w:t>
      </w:r>
    </w:p>
    <w:p w14:paraId="10E14CD5" w14:textId="77777777" w:rsidR="00A278AC" w:rsidRDefault="00A278AC"/>
    <w:p w14:paraId="672A8EF3" w14:textId="3360BE8B" w:rsidR="00A278AC" w:rsidRPr="00A5754D" w:rsidRDefault="00A278AC">
      <w:pPr>
        <w:rPr>
          <w:lang w:val="en-US"/>
        </w:rPr>
      </w:pPr>
      <w:r w:rsidRPr="00A5754D">
        <w:rPr>
          <w:lang w:val="en-US"/>
        </w:rPr>
        <w:t xml:space="preserve">Fra </w:t>
      </w:r>
      <w:r w:rsidR="00A5754D" w:rsidRPr="00A5754D">
        <w:rPr>
          <w:lang w:val="en-US"/>
        </w:rPr>
        <w:t>Hartmut Rosa</w:t>
      </w:r>
      <w:r w:rsidR="00A5754D" w:rsidRPr="00D802B5">
        <w:rPr>
          <w:i/>
          <w:iCs/>
          <w:lang w:val="en-US"/>
        </w:rPr>
        <w:t xml:space="preserve"> </w:t>
      </w:r>
      <w:proofErr w:type="spellStart"/>
      <w:proofErr w:type="gramStart"/>
      <w:r w:rsidR="00A5754D" w:rsidRPr="00D802B5">
        <w:rPr>
          <w:i/>
          <w:iCs/>
          <w:lang w:val="en-US"/>
        </w:rPr>
        <w:t>Resonant</w:t>
      </w:r>
      <w:r w:rsidR="00D802B5" w:rsidRPr="00D802B5">
        <w:rPr>
          <w:i/>
          <w:iCs/>
          <w:lang w:val="en-US"/>
        </w:rPr>
        <w:t>s</w:t>
      </w:r>
      <w:proofErr w:type="spellEnd"/>
      <w:r w:rsidR="00D802B5">
        <w:rPr>
          <w:lang w:val="en-US"/>
        </w:rPr>
        <w:t xml:space="preserve"> ,</w:t>
      </w:r>
      <w:proofErr w:type="gramEnd"/>
      <w:r w:rsidR="00D802B5">
        <w:rPr>
          <w:lang w:val="en-US"/>
        </w:rPr>
        <w:t xml:space="preserve"> </w:t>
      </w:r>
      <w:proofErr w:type="spellStart"/>
      <w:r w:rsidR="00D802B5">
        <w:rPr>
          <w:lang w:val="en-US"/>
        </w:rPr>
        <w:t>Eksistensen</w:t>
      </w:r>
      <w:proofErr w:type="spellEnd"/>
      <w:r w:rsidR="00D802B5">
        <w:rPr>
          <w:lang w:val="en-US"/>
        </w:rPr>
        <w:t xml:space="preserve"> </w:t>
      </w:r>
      <w:r w:rsidR="00B15A8D">
        <w:rPr>
          <w:lang w:val="en-US"/>
        </w:rPr>
        <w:t xml:space="preserve">2022 </w:t>
      </w:r>
      <w:r w:rsidR="00D802B5">
        <w:rPr>
          <w:lang w:val="en-US"/>
        </w:rPr>
        <w:t>side</w:t>
      </w:r>
      <w:r w:rsidR="00A5754D">
        <w:rPr>
          <w:lang w:val="en-US"/>
        </w:rPr>
        <w:t xml:space="preserve"> 203+205+233-234</w:t>
      </w:r>
    </w:p>
    <w:sectPr w:rsidR="00A278AC" w:rsidRPr="00A5754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81E0" w14:textId="77777777" w:rsidR="00D85E3D" w:rsidRDefault="00D85E3D" w:rsidP="00E05F44">
      <w:pPr>
        <w:spacing w:after="0" w:line="240" w:lineRule="auto"/>
      </w:pPr>
      <w:r>
        <w:separator/>
      </w:r>
    </w:p>
  </w:endnote>
  <w:endnote w:type="continuationSeparator" w:id="0">
    <w:p w14:paraId="2196C496" w14:textId="77777777" w:rsidR="00D85E3D" w:rsidRDefault="00D85E3D" w:rsidP="00E0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93EF" w14:textId="77777777" w:rsidR="00D85E3D" w:rsidRDefault="00D85E3D" w:rsidP="00E05F44">
      <w:pPr>
        <w:spacing w:after="0" w:line="240" w:lineRule="auto"/>
      </w:pPr>
      <w:r>
        <w:separator/>
      </w:r>
    </w:p>
  </w:footnote>
  <w:footnote w:type="continuationSeparator" w:id="0">
    <w:p w14:paraId="5CE2A3F0" w14:textId="77777777" w:rsidR="00D85E3D" w:rsidRDefault="00D85E3D" w:rsidP="00E05F44">
      <w:pPr>
        <w:spacing w:after="0" w:line="240" w:lineRule="auto"/>
      </w:pPr>
      <w:r>
        <w:continuationSeparator/>
      </w:r>
    </w:p>
  </w:footnote>
  <w:footnote w:id="1">
    <w:p w14:paraId="1D815B6A" w14:textId="587CB458" w:rsidR="00E05F44" w:rsidRDefault="00E05F44">
      <w:pPr>
        <w:pStyle w:val="Fodnotetekst"/>
      </w:pPr>
      <w:r>
        <w:rPr>
          <w:rStyle w:val="Fodnotehenvisning"/>
        </w:rPr>
        <w:footnoteRef/>
      </w:r>
      <w:r>
        <w:t xml:space="preserve"> Tildelingsmekanisme</w:t>
      </w:r>
    </w:p>
  </w:footnote>
  <w:footnote w:id="2">
    <w:p w14:paraId="38F587DA" w14:textId="7CD79B3A" w:rsidR="00E05F44" w:rsidRDefault="00E05F44">
      <w:pPr>
        <w:pStyle w:val="Fodnotetekst"/>
      </w:pPr>
      <w:r>
        <w:rPr>
          <w:rStyle w:val="Fodnotehenvisning"/>
        </w:rPr>
        <w:footnoteRef/>
      </w:r>
      <w:r>
        <w:t xml:space="preserve"> a </w:t>
      </w:r>
      <w:proofErr w:type="spellStart"/>
      <w:r>
        <w:t>fortiori</w:t>
      </w:r>
      <w:proofErr w:type="spellEnd"/>
      <w:r>
        <w:t xml:space="preserve"> - ’med desto større ret’</w:t>
      </w:r>
    </w:p>
  </w:footnote>
  <w:footnote w:id="3">
    <w:p w14:paraId="251779D2" w14:textId="30A731C5" w:rsidR="00E05F44" w:rsidRDefault="00E05F44">
      <w:pPr>
        <w:pStyle w:val="Fodnotetekst"/>
      </w:pPr>
      <w:r>
        <w:rPr>
          <w:rStyle w:val="Fodnotehenvisning"/>
        </w:rPr>
        <w:footnoteRef/>
      </w:r>
      <w:r>
        <w:t xml:space="preserve"> </w:t>
      </w:r>
      <w:proofErr w:type="spellStart"/>
      <w:r>
        <w:t>repulsiv</w:t>
      </w:r>
      <w:proofErr w:type="spellEnd"/>
      <w:r>
        <w:t xml:space="preserve"> - frastødende</w:t>
      </w:r>
    </w:p>
  </w:footnote>
  <w:footnote w:id="4">
    <w:p w14:paraId="7524626A" w14:textId="4610A3F1" w:rsidR="00E05F44" w:rsidRDefault="00E05F44">
      <w:pPr>
        <w:pStyle w:val="Fodnotetekst"/>
      </w:pPr>
      <w:r>
        <w:rPr>
          <w:rStyle w:val="Fodnotehenvisning"/>
        </w:rPr>
        <w:footnoteRef/>
      </w:r>
      <w:r>
        <w:t xml:space="preserve"> indifferent - ligegyldig</w:t>
      </w:r>
    </w:p>
  </w:footnote>
  <w:footnote w:id="5">
    <w:p w14:paraId="7D7BC5E9" w14:textId="4DFFCFFD" w:rsidR="00E05F44" w:rsidRDefault="00E05F44">
      <w:pPr>
        <w:pStyle w:val="Fodnotetekst"/>
      </w:pPr>
      <w:r>
        <w:rPr>
          <w:rStyle w:val="Fodnotehenvisning"/>
        </w:rPr>
        <w:footnoteRef/>
      </w:r>
      <w:r>
        <w:t xml:space="preserve"> dikotomi - </w:t>
      </w:r>
      <w:proofErr w:type="spellStart"/>
      <w:r>
        <w:t>todsidet</w:t>
      </w:r>
      <w:proofErr w:type="spellEnd"/>
    </w:p>
  </w:footnote>
  <w:footnote w:id="6">
    <w:p w14:paraId="13DE87D5" w14:textId="6B850F8D" w:rsidR="00544E7E" w:rsidRDefault="00544E7E">
      <w:pPr>
        <w:pStyle w:val="Fodnotetekst"/>
      </w:pPr>
      <w:r>
        <w:rPr>
          <w:rStyle w:val="Fodnotehenvisning"/>
        </w:rPr>
        <w:footnoteRef/>
      </w:r>
      <w:r>
        <w:t xml:space="preserve"> sakral - hellig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5F44"/>
    <w:rsid w:val="0001763D"/>
    <w:rsid w:val="00035660"/>
    <w:rsid w:val="000535F6"/>
    <w:rsid w:val="000828AF"/>
    <w:rsid w:val="00083C61"/>
    <w:rsid w:val="000A3377"/>
    <w:rsid w:val="000E1C37"/>
    <w:rsid w:val="00122EB4"/>
    <w:rsid w:val="001414A8"/>
    <w:rsid w:val="001464EE"/>
    <w:rsid w:val="00194920"/>
    <w:rsid w:val="001E377A"/>
    <w:rsid w:val="00223759"/>
    <w:rsid w:val="00266F17"/>
    <w:rsid w:val="002D6A2F"/>
    <w:rsid w:val="002E5790"/>
    <w:rsid w:val="002F1881"/>
    <w:rsid w:val="00302A6A"/>
    <w:rsid w:val="00394B19"/>
    <w:rsid w:val="00397C45"/>
    <w:rsid w:val="003B63A0"/>
    <w:rsid w:val="003F02F4"/>
    <w:rsid w:val="0040734B"/>
    <w:rsid w:val="00424888"/>
    <w:rsid w:val="00446F49"/>
    <w:rsid w:val="00497D89"/>
    <w:rsid w:val="004D573A"/>
    <w:rsid w:val="004E0A05"/>
    <w:rsid w:val="004F78AC"/>
    <w:rsid w:val="00503E15"/>
    <w:rsid w:val="00505DD4"/>
    <w:rsid w:val="00544E7E"/>
    <w:rsid w:val="00551A77"/>
    <w:rsid w:val="0060764B"/>
    <w:rsid w:val="006271BB"/>
    <w:rsid w:val="00642BB8"/>
    <w:rsid w:val="00690D36"/>
    <w:rsid w:val="006D160B"/>
    <w:rsid w:val="006E7DF4"/>
    <w:rsid w:val="006F7820"/>
    <w:rsid w:val="0074597E"/>
    <w:rsid w:val="00745C63"/>
    <w:rsid w:val="00770D51"/>
    <w:rsid w:val="007B1A3C"/>
    <w:rsid w:val="007C05BB"/>
    <w:rsid w:val="007C4249"/>
    <w:rsid w:val="007D02E4"/>
    <w:rsid w:val="007F1164"/>
    <w:rsid w:val="008051C7"/>
    <w:rsid w:val="00861B02"/>
    <w:rsid w:val="008D4BF0"/>
    <w:rsid w:val="008E1807"/>
    <w:rsid w:val="00936CC6"/>
    <w:rsid w:val="00945F4B"/>
    <w:rsid w:val="00955552"/>
    <w:rsid w:val="00957B3F"/>
    <w:rsid w:val="009B0B7B"/>
    <w:rsid w:val="009F0E85"/>
    <w:rsid w:val="009F63CF"/>
    <w:rsid w:val="00A278AC"/>
    <w:rsid w:val="00A5754D"/>
    <w:rsid w:val="00A611E5"/>
    <w:rsid w:val="00A62FD9"/>
    <w:rsid w:val="00A907C3"/>
    <w:rsid w:val="00AC26DB"/>
    <w:rsid w:val="00AE3BFB"/>
    <w:rsid w:val="00B13802"/>
    <w:rsid w:val="00B15A8D"/>
    <w:rsid w:val="00B16525"/>
    <w:rsid w:val="00B87B29"/>
    <w:rsid w:val="00B93393"/>
    <w:rsid w:val="00BB775F"/>
    <w:rsid w:val="00BC5EC8"/>
    <w:rsid w:val="00BD48C3"/>
    <w:rsid w:val="00C21DA3"/>
    <w:rsid w:val="00C440AB"/>
    <w:rsid w:val="00C66B2D"/>
    <w:rsid w:val="00CA55AE"/>
    <w:rsid w:val="00CA6900"/>
    <w:rsid w:val="00CF5BF1"/>
    <w:rsid w:val="00D06F3B"/>
    <w:rsid w:val="00D76766"/>
    <w:rsid w:val="00D77420"/>
    <w:rsid w:val="00D802B5"/>
    <w:rsid w:val="00D83FC2"/>
    <w:rsid w:val="00D84AD1"/>
    <w:rsid w:val="00D85E3D"/>
    <w:rsid w:val="00DA49A9"/>
    <w:rsid w:val="00DC652F"/>
    <w:rsid w:val="00DE41A8"/>
    <w:rsid w:val="00DF09EB"/>
    <w:rsid w:val="00DF67C8"/>
    <w:rsid w:val="00E05F44"/>
    <w:rsid w:val="00E12CA1"/>
    <w:rsid w:val="00E34747"/>
    <w:rsid w:val="00E5654D"/>
    <w:rsid w:val="00E70AF0"/>
    <w:rsid w:val="00E84CB8"/>
    <w:rsid w:val="00E855A2"/>
    <w:rsid w:val="00E9692A"/>
    <w:rsid w:val="00F2472E"/>
    <w:rsid w:val="00F45A45"/>
    <w:rsid w:val="00FA2D08"/>
    <w:rsid w:val="00FC0C27"/>
    <w:rsid w:val="00FC1D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6732"/>
  <w15:chartTrackingRefBased/>
  <w15:docId w15:val="{E1AB5C49-09E3-4062-91B7-52958D67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E05F4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05F44"/>
    <w:rPr>
      <w:sz w:val="20"/>
      <w:szCs w:val="20"/>
    </w:rPr>
  </w:style>
  <w:style w:type="character" w:styleId="Fodnotehenvisning">
    <w:name w:val="footnote reference"/>
    <w:basedOn w:val="Standardskrifttypeiafsnit"/>
    <w:uiPriority w:val="99"/>
    <w:semiHidden/>
    <w:unhideWhenUsed/>
    <w:rsid w:val="00E05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8FF2B-83E4-457C-97ED-BB266551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627</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Hauervig</dc:creator>
  <cp:keywords/>
  <dc:description/>
  <cp:lastModifiedBy>Andreas Hauervig</cp:lastModifiedBy>
  <cp:revision>28</cp:revision>
  <dcterms:created xsi:type="dcterms:W3CDTF">2024-12-10T03:50:00Z</dcterms:created>
  <dcterms:modified xsi:type="dcterms:W3CDTF">2024-12-10T04:49:00Z</dcterms:modified>
</cp:coreProperties>
</file>