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FD625" w14:textId="77777777" w:rsidR="003414BF" w:rsidRPr="005C7552" w:rsidRDefault="003414BF" w:rsidP="003414BF">
      <w:pPr>
        <w:pBdr>
          <w:bottom w:val="single" w:sz="4" w:space="1" w:color="auto"/>
        </w:pBdr>
        <w:jc w:val="center"/>
        <w:rPr>
          <w:sz w:val="32"/>
          <w:szCs w:val="32"/>
        </w:rPr>
      </w:pPr>
      <w:bookmarkStart w:id="0" w:name="_GoBack"/>
      <w:bookmarkEnd w:id="0"/>
      <w:r w:rsidRPr="005C7552">
        <w:rPr>
          <w:sz w:val="32"/>
          <w:szCs w:val="32"/>
        </w:rPr>
        <w:t>Historiefaglige begreber</w:t>
      </w:r>
    </w:p>
    <w:p w14:paraId="70070FF2" w14:textId="77777777" w:rsidR="003414BF" w:rsidRPr="005C7552" w:rsidRDefault="003414BF" w:rsidP="003414BF">
      <w:pPr>
        <w:rPr>
          <w:sz w:val="24"/>
          <w:szCs w:val="24"/>
        </w:rPr>
      </w:pPr>
      <w:r w:rsidRPr="005C7552">
        <w:rPr>
          <w:sz w:val="24"/>
          <w:szCs w:val="24"/>
        </w:rPr>
        <w:t xml:space="preserve">1. </w:t>
      </w:r>
      <w:r w:rsidRPr="00E971F7">
        <w:rPr>
          <w:b/>
          <w:sz w:val="24"/>
          <w:szCs w:val="24"/>
        </w:rPr>
        <w:t>’Levn’</w:t>
      </w:r>
      <w:r w:rsidRPr="005C7552">
        <w:rPr>
          <w:sz w:val="24"/>
          <w:szCs w:val="24"/>
        </w:rPr>
        <w:t>: Det årstal kilden er fra. Man bruger kilden til at sige noget om ophavsmandens opfattelse af tingene på det tidspunkt, at kilden er fra. Derfor siger kilden måske også noget om samtiden, foruden selve den fortidige begivenhed, som den vil fortælle om. Filmen *</w:t>
      </w:r>
      <w:proofErr w:type="spellStart"/>
      <w:r w:rsidRPr="005C7552">
        <w:rPr>
          <w:sz w:val="24"/>
          <w:szCs w:val="24"/>
        </w:rPr>
        <w:t>Platoon</w:t>
      </w:r>
      <w:proofErr w:type="spellEnd"/>
      <w:r w:rsidRPr="005C7552">
        <w:rPr>
          <w:sz w:val="24"/>
          <w:szCs w:val="24"/>
        </w:rPr>
        <w:t>* er fra 1985 (Altså levn fra 1985) Samtidig er den en beretning om 1967. En kilde er ikke den ene eller det andet. Det handler om historikerens brug af den, enten som den ene eller det andet – eller begge dele</w:t>
      </w:r>
    </w:p>
    <w:p w14:paraId="59FBB431" w14:textId="77777777" w:rsidR="003414BF" w:rsidRPr="005C7552" w:rsidRDefault="003414BF" w:rsidP="003414BF">
      <w:pPr>
        <w:rPr>
          <w:sz w:val="24"/>
          <w:szCs w:val="24"/>
        </w:rPr>
      </w:pPr>
      <w:r w:rsidRPr="005C7552">
        <w:rPr>
          <w:sz w:val="24"/>
          <w:szCs w:val="24"/>
        </w:rPr>
        <w:t xml:space="preserve">2. </w:t>
      </w:r>
      <w:r w:rsidRPr="00E971F7">
        <w:rPr>
          <w:b/>
          <w:sz w:val="24"/>
          <w:szCs w:val="24"/>
        </w:rPr>
        <w:t>’Beretning’</w:t>
      </w:r>
      <w:r w:rsidRPr="005C7552">
        <w:rPr>
          <w:sz w:val="24"/>
          <w:szCs w:val="24"/>
        </w:rPr>
        <w:t>: Hvilken historisk begivenhed berettes der om?</w:t>
      </w:r>
    </w:p>
    <w:p w14:paraId="283CB09E" w14:textId="77777777" w:rsidR="003414BF" w:rsidRPr="005C7552" w:rsidRDefault="003414BF" w:rsidP="003414BF">
      <w:pPr>
        <w:rPr>
          <w:sz w:val="24"/>
          <w:szCs w:val="24"/>
        </w:rPr>
      </w:pPr>
      <w:r w:rsidRPr="005C7552">
        <w:rPr>
          <w:sz w:val="24"/>
          <w:szCs w:val="24"/>
        </w:rPr>
        <w:t xml:space="preserve">3. </w:t>
      </w:r>
      <w:r w:rsidRPr="00E971F7">
        <w:rPr>
          <w:b/>
          <w:sz w:val="24"/>
          <w:szCs w:val="24"/>
        </w:rPr>
        <w:t>’1. og 2. håndskilde’</w:t>
      </w:r>
      <w:r w:rsidRPr="005C7552">
        <w:rPr>
          <w:sz w:val="24"/>
          <w:szCs w:val="24"/>
        </w:rPr>
        <w:t xml:space="preserve"> – ’vidneposition’. Man kan ikke altid sætte lighedstegn mellem en 1. håndskilde og den bedste kilde. </w:t>
      </w:r>
    </w:p>
    <w:p w14:paraId="3B5057B1" w14:textId="77777777" w:rsidR="003414BF" w:rsidRPr="005C7552" w:rsidRDefault="003414BF" w:rsidP="003414BF">
      <w:pPr>
        <w:rPr>
          <w:sz w:val="24"/>
          <w:szCs w:val="24"/>
        </w:rPr>
      </w:pPr>
      <w:r w:rsidRPr="005C7552">
        <w:rPr>
          <w:sz w:val="24"/>
          <w:szCs w:val="24"/>
        </w:rPr>
        <w:t xml:space="preserve">4. </w:t>
      </w:r>
      <w:r w:rsidRPr="00E971F7">
        <w:rPr>
          <w:b/>
          <w:sz w:val="24"/>
          <w:szCs w:val="24"/>
        </w:rPr>
        <w:t>’Evne og vilje’</w:t>
      </w:r>
      <w:r w:rsidRPr="005C7552">
        <w:rPr>
          <w:sz w:val="24"/>
          <w:szCs w:val="24"/>
        </w:rPr>
        <w:t xml:space="preserve"> hos ophavsmanden </w:t>
      </w:r>
      <w:proofErr w:type="gramStart"/>
      <w:r w:rsidRPr="005C7552">
        <w:rPr>
          <w:sz w:val="24"/>
          <w:szCs w:val="24"/>
        </w:rPr>
        <w:t>a)Evne</w:t>
      </w:r>
      <w:proofErr w:type="gramEnd"/>
      <w:r w:rsidRPr="005C7552">
        <w:rPr>
          <w:sz w:val="24"/>
          <w:szCs w:val="24"/>
        </w:rPr>
        <w:t>: Forstår han det, som han omtaler. Er han sprogligt velformulereret og virker til at have klarhed om den situation, som han beskriver. Har skriver overblik og indsigt</w:t>
      </w:r>
    </w:p>
    <w:p w14:paraId="14410748" w14:textId="77777777" w:rsidR="003414BF" w:rsidRPr="005C7552" w:rsidRDefault="003414BF" w:rsidP="003414BF">
      <w:pPr>
        <w:rPr>
          <w:sz w:val="24"/>
          <w:szCs w:val="24"/>
        </w:rPr>
      </w:pPr>
      <w:r w:rsidRPr="005C7552">
        <w:rPr>
          <w:sz w:val="24"/>
          <w:szCs w:val="24"/>
        </w:rPr>
        <w:t xml:space="preserve">b) </w:t>
      </w:r>
      <w:r w:rsidRPr="00E971F7">
        <w:rPr>
          <w:b/>
          <w:sz w:val="24"/>
          <w:szCs w:val="24"/>
        </w:rPr>
        <w:t>Vilje</w:t>
      </w:r>
      <w:r w:rsidRPr="005C7552">
        <w:rPr>
          <w:sz w:val="24"/>
          <w:szCs w:val="24"/>
        </w:rPr>
        <w:t>: Er han klar til at fortælle hele sandheden, eller udelader han noget, fordi han vil sin holdning igennem uimodsagt. (Tavshed i kilderne – se længere nede)</w:t>
      </w:r>
    </w:p>
    <w:p w14:paraId="1DC110CD" w14:textId="77777777" w:rsidR="003414BF" w:rsidRPr="005C7552" w:rsidRDefault="003414BF" w:rsidP="003414BF">
      <w:pPr>
        <w:rPr>
          <w:sz w:val="24"/>
          <w:szCs w:val="24"/>
        </w:rPr>
      </w:pPr>
      <w:r w:rsidRPr="005C7552">
        <w:rPr>
          <w:sz w:val="24"/>
          <w:szCs w:val="24"/>
        </w:rPr>
        <w:t xml:space="preserve">6. </w:t>
      </w:r>
      <w:r w:rsidRPr="00E971F7">
        <w:rPr>
          <w:b/>
          <w:sz w:val="24"/>
          <w:szCs w:val="24"/>
        </w:rPr>
        <w:t>’Ophavsmand og – situation’</w:t>
      </w:r>
      <w:r w:rsidRPr="005C7552">
        <w:rPr>
          <w:sz w:val="24"/>
          <w:szCs w:val="24"/>
        </w:rPr>
        <w:t>: Hvad ved vi om skribenten: Politisk, religiøs, psykologisk og social holdning. Afspejler ophavsmandens motiver sig tydeligt i kilden?</w:t>
      </w:r>
    </w:p>
    <w:p w14:paraId="12AE526E" w14:textId="77777777" w:rsidR="003414BF" w:rsidRPr="005C7552" w:rsidRDefault="003414BF" w:rsidP="003414BF">
      <w:pPr>
        <w:rPr>
          <w:sz w:val="24"/>
          <w:szCs w:val="24"/>
        </w:rPr>
      </w:pPr>
      <w:r w:rsidRPr="005C7552">
        <w:rPr>
          <w:sz w:val="24"/>
          <w:szCs w:val="24"/>
        </w:rPr>
        <w:t xml:space="preserve">7. </w:t>
      </w:r>
      <w:r w:rsidRPr="00E971F7">
        <w:rPr>
          <w:b/>
          <w:sz w:val="24"/>
          <w:szCs w:val="24"/>
        </w:rPr>
        <w:t>’Repræsentativ’</w:t>
      </w:r>
      <w:r w:rsidRPr="005C7552">
        <w:rPr>
          <w:sz w:val="24"/>
          <w:szCs w:val="24"/>
        </w:rPr>
        <w:t xml:space="preserve"> – svarer kilden til andet, som man ved om episoden eller tiden, eller stikker den fuldstændig ud som viden, der lyder mærkelig og profan.</w:t>
      </w:r>
    </w:p>
    <w:p w14:paraId="449D0427" w14:textId="77777777" w:rsidR="003414BF" w:rsidRPr="005C7552" w:rsidRDefault="003414BF" w:rsidP="003414BF">
      <w:pPr>
        <w:rPr>
          <w:sz w:val="24"/>
          <w:szCs w:val="24"/>
        </w:rPr>
      </w:pPr>
      <w:r w:rsidRPr="005C7552">
        <w:rPr>
          <w:sz w:val="24"/>
          <w:szCs w:val="24"/>
        </w:rPr>
        <w:t>8. ’</w:t>
      </w:r>
      <w:r w:rsidRPr="00E971F7">
        <w:rPr>
          <w:b/>
          <w:sz w:val="24"/>
          <w:szCs w:val="24"/>
        </w:rPr>
        <w:t>Troværdig</w:t>
      </w:r>
      <w:r w:rsidRPr="005C7552">
        <w:rPr>
          <w:sz w:val="24"/>
          <w:szCs w:val="24"/>
        </w:rPr>
        <w:t>’ – sammenligning med andre kilder. Svarer viden fra denne kilder nogenlunde til, hvad vi ellers ved om den historiske begivenhed</w:t>
      </w:r>
    </w:p>
    <w:p w14:paraId="56B51CDD" w14:textId="77777777" w:rsidR="003414BF" w:rsidRPr="005C7552" w:rsidRDefault="003414BF" w:rsidP="003414BF">
      <w:pPr>
        <w:rPr>
          <w:sz w:val="24"/>
          <w:szCs w:val="24"/>
        </w:rPr>
      </w:pPr>
      <w:r w:rsidRPr="005C7552">
        <w:rPr>
          <w:sz w:val="24"/>
          <w:szCs w:val="24"/>
        </w:rPr>
        <w:t xml:space="preserve">9. </w:t>
      </w:r>
      <w:r w:rsidRPr="00E971F7">
        <w:rPr>
          <w:b/>
          <w:sz w:val="24"/>
          <w:szCs w:val="24"/>
        </w:rPr>
        <w:t>’Tavshed i kilderne</w:t>
      </w:r>
      <w:r w:rsidRPr="005C7552">
        <w:rPr>
          <w:sz w:val="24"/>
          <w:szCs w:val="24"/>
        </w:rPr>
        <w:t>’ (*</w:t>
      </w:r>
      <w:proofErr w:type="spellStart"/>
      <w:r w:rsidRPr="005C7552">
        <w:rPr>
          <w:sz w:val="24"/>
          <w:szCs w:val="24"/>
        </w:rPr>
        <w:t>argumentum</w:t>
      </w:r>
      <w:proofErr w:type="spellEnd"/>
      <w:r w:rsidRPr="005C7552">
        <w:rPr>
          <w:sz w:val="24"/>
          <w:szCs w:val="24"/>
        </w:rPr>
        <w:t xml:space="preserve"> e </w:t>
      </w:r>
      <w:proofErr w:type="spellStart"/>
      <w:r w:rsidRPr="005C7552">
        <w:rPr>
          <w:sz w:val="24"/>
          <w:szCs w:val="24"/>
        </w:rPr>
        <w:t>silentio</w:t>
      </w:r>
      <w:proofErr w:type="spellEnd"/>
      <w:r w:rsidRPr="005C7552">
        <w:rPr>
          <w:sz w:val="24"/>
          <w:szCs w:val="24"/>
        </w:rPr>
        <w:t>*) – undlader ophavsmanden noget, og hvorfor – vil han have sit hovedbudskab til at stå uimodsagt. ’Tavshed’ taler ofte højere end det skrevne. Bruger I dette begreb konkret, falder censor ned af stolen af begejstring</w:t>
      </w:r>
    </w:p>
    <w:p w14:paraId="7D213C2C" w14:textId="77777777" w:rsidR="003414BF" w:rsidRPr="005C7552" w:rsidRDefault="003414BF" w:rsidP="003414BF">
      <w:pPr>
        <w:rPr>
          <w:sz w:val="24"/>
          <w:szCs w:val="24"/>
        </w:rPr>
      </w:pPr>
      <w:r w:rsidRPr="005C7552">
        <w:rPr>
          <w:sz w:val="24"/>
          <w:szCs w:val="24"/>
        </w:rPr>
        <w:t>10. ’</w:t>
      </w:r>
      <w:r w:rsidRPr="00E971F7">
        <w:rPr>
          <w:b/>
          <w:sz w:val="24"/>
          <w:szCs w:val="24"/>
        </w:rPr>
        <w:t>Erindringsforskydning</w:t>
      </w:r>
      <w:r w:rsidRPr="005C7552">
        <w:rPr>
          <w:sz w:val="24"/>
          <w:szCs w:val="24"/>
        </w:rPr>
        <w:t>’ – når kilden ikke er samtidig med begivenheden, kan skribent have ’glemt’ noget, eller fået forvrænget sine oplevelser fra dengang, hvis der er tale om en 1. håndskilde. Omvendt mener nogle, at særligt barske oplevelser indprenter sig så tydeligt, at den basale følelse ved oplevelsen af den historiske begivenhed står uanfægtet i det nuværende sind</w:t>
      </w:r>
    </w:p>
    <w:p w14:paraId="7F0E67C8" w14:textId="77777777" w:rsidR="003414BF" w:rsidRPr="005C7552" w:rsidRDefault="003414BF" w:rsidP="003414BF">
      <w:pPr>
        <w:shd w:val="clear" w:color="auto" w:fill="FFFFFF"/>
        <w:spacing w:before="100" w:beforeAutospacing="1" w:after="100" w:afterAutospacing="1" w:line="240" w:lineRule="auto"/>
        <w:rPr>
          <w:rFonts w:eastAsia="Times New Roman" w:cs="Times New Roman"/>
          <w:sz w:val="24"/>
          <w:szCs w:val="24"/>
        </w:rPr>
      </w:pPr>
      <w:r w:rsidRPr="005C7552">
        <w:rPr>
          <w:sz w:val="24"/>
          <w:szCs w:val="24"/>
        </w:rPr>
        <w:t>11. ’</w:t>
      </w:r>
      <w:r w:rsidRPr="00E971F7">
        <w:rPr>
          <w:b/>
          <w:sz w:val="24"/>
          <w:szCs w:val="24"/>
        </w:rPr>
        <w:t>Tendens</w:t>
      </w:r>
      <w:r w:rsidRPr="005C7552">
        <w:rPr>
          <w:sz w:val="24"/>
          <w:szCs w:val="24"/>
        </w:rPr>
        <w:t xml:space="preserve">’/hovedsynspunkt/holdning/skriveposition til begivenhederne – taler den imod sin egen tendens – sit hovedsynspunkt – altså sætter andre historiske forståelser op imod skribentens egen holdning. Altså ser det fra flere vinkler, sådan at læseren får et større helhedsbillede. En kilde der taler imod sin egen tendens er ofte mere troværdig. </w:t>
      </w:r>
      <w:r w:rsidRPr="005C7552">
        <w:rPr>
          <w:rFonts w:eastAsia="Times New Roman" w:cs="Times New Roman"/>
          <w:sz w:val="24"/>
          <w:szCs w:val="24"/>
        </w:rPr>
        <w:t xml:space="preserve">Jeg er meget tilbageholdende med at bruge termen ”tendens”, fordi den let oversættes til </w:t>
      </w:r>
      <w:r w:rsidRPr="00E971F7">
        <w:rPr>
          <w:rFonts w:eastAsia="Times New Roman" w:cs="Times New Roman"/>
          <w:b/>
          <w:sz w:val="24"/>
          <w:szCs w:val="24"/>
        </w:rPr>
        <w:t>tendentiøs</w:t>
      </w:r>
      <w:r w:rsidRPr="005C7552">
        <w:rPr>
          <w:rFonts w:eastAsia="Times New Roman" w:cs="Times New Roman"/>
          <w:sz w:val="24"/>
          <w:szCs w:val="24"/>
        </w:rPr>
        <w:t xml:space="preserve"> forstået som bevidst </w:t>
      </w:r>
      <w:r w:rsidRPr="005C7552">
        <w:rPr>
          <w:rFonts w:eastAsia="Times New Roman" w:cs="Times New Roman"/>
          <w:sz w:val="24"/>
          <w:szCs w:val="24"/>
        </w:rPr>
        <w:lastRenderedPageBreak/>
        <w:t>manipulerende med facts. Men kildens tendens forstået som hovedsynspunkt eller (måske bedre) skriveposition er uomgængelig, og det er vigtigt at alle kilder har en tendens. Eller omvendt: ingen kilder er neutrale og det må selvfølgelig indgå i analysen af kilden – og de færreste kilder er tendentiøse (det mest almindelige er nok udeladelse af ubehagelige oplysninger). En kilde, der taler mod sin tendens er derfor en god kilde.</w:t>
      </w:r>
    </w:p>
    <w:p w14:paraId="66B050F9" w14:textId="77777777" w:rsidR="003414BF" w:rsidRPr="005C7552" w:rsidRDefault="003414BF" w:rsidP="003414BF">
      <w:pPr>
        <w:shd w:val="clear" w:color="auto" w:fill="FFFFFF"/>
        <w:spacing w:before="100" w:beforeAutospacing="1" w:after="100" w:afterAutospacing="1" w:line="240" w:lineRule="auto"/>
        <w:rPr>
          <w:sz w:val="24"/>
          <w:szCs w:val="24"/>
        </w:rPr>
      </w:pPr>
      <w:r w:rsidRPr="005C7552">
        <w:rPr>
          <w:rFonts w:eastAsia="Times New Roman" w:cs="Times New Roman"/>
          <w:sz w:val="24"/>
          <w:szCs w:val="24"/>
        </w:rPr>
        <w:t xml:space="preserve">12. </w:t>
      </w:r>
      <w:r w:rsidRPr="00E971F7">
        <w:rPr>
          <w:rFonts w:eastAsia="Times New Roman" w:cs="Times New Roman"/>
          <w:b/>
          <w:sz w:val="24"/>
          <w:szCs w:val="24"/>
        </w:rPr>
        <w:t xml:space="preserve">Formål med </w:t>
      </w:r>
      <w:proofErr w:type="gramStart"/>
      <w:r w:rsidRPr="00E971F7">
        <w:rPr>
          <w:rFonts w:eastAsia="Times New Roman" w:cs="Times New Roman"/>
          <w:b/>
          <w:sz w:val="24"/>
          <w:szCs w:val="24"/>
        </w:rPr>
        <w:t>kilden</w:t>
      </w:r>
      <w:r>
        <w:rPr>
          <w:rFonts w:eastAsia="Times New Roman" w:cs="Times New Roman"/>
          <w:sz w:val="24"/>
          <w:szCs w:val="24"/>
        </w:rPr>
        <w:t xml:space="preserve"> </w:t>
      </w:r>
      <w:r w:rsidRPr="005C7552">
        <w:rPr>
          <w:rFonts w:eastAsia="Times New Roman" w:cs="Times New Roman"/>
          <w:sz w:val="24"/>
          <w:szCs w:val="24"/>
        </w:rPr>
        <w:t xml:space="preserve"> eller</w:t>
      </w:r>
      <w:proofErr w:type="gramEnd"/>
      <w:r w:rsidRPr="005C7552">
        <w:rPr>
          <w:rFonts w:eastAsia="Times New Roman" w:cs="Times New Roman"/>
          <w:sz w:val="24"/>
          <w:szCs w:val="24"/>
        </w:rPr>
        <w:t xml:space="preserve"> gavner kilden nogen</w:t>
      </w:r>
      <w:r>
        <w:rPr>
          <w:rFonts w:eastAsia="Times New Roman" w:cs="Times New Roman"/>
          <w:sz w:val="24"/>
          <w:szCs w:val="24"/>
        </w:rPr>
        <w:t xml:space="preserve"> (</w:t>
      </w:r>
      <w:r w:rsidRPr="005C7552">
        <w:rPr>
          <w:rFonts w:eastAsia="Times New Roman" w:cs="Times New Roman"/>
          <w:sz w:val="24"/>
          <w:szCs w:val="24"/>
        </w:rPr>
        <w:t>’</w:t>
      </w:r>
      <w:proofErr w:type="spellStart"/>
      <w:r w:rsidRPr="005C7552">
        <w:rPr>
          <w:rFonts w:eastAsia="Times New Roman" w:cs="Times New Roman"/>
          <w:sz w:val="24"/>
          <w:szCs w:val="24"/>
        </w:rPr>
        <w:t>Cui</w:t>
      </w:r>
      <w:proofErr w:type="spellEnd"/>
      <w:r w:rsidRPr="005C7552">
        <w:rPr>
          <w:rFonts w:eastAsia="Times New Roman" w:cs="Times New Roman"/>
          <w:sz w:val="24"/>
          <w:szCs w:val="24"/>
        </w:rPr>
        <w:t xml:space="preserve"> </w:t>
      </w:r>
      <w:proofErr w:type="spellStart"/>
      <w:r w:rsidRPr="005C7552">
        <w:rPr>
          <w:rFonts w:eastAsia="Times New Roman" w:cs="Times New Roman"/>
          <w:sz w:val="24"/>
          <w:szCs w:val="24"/>
        </w:rPr>
        <w:t>bono</w:t>
      </w:r>
      <w:proofErr w:type="spellEnd"/>
      <w:r w:rsidRPr="005C7552">
        <w:rPr>
          <w:rFonts w:eastAsia="Times New Roman" w:cs="Times New Roman"/>
          <w:sz w:val="24"/>
          <w:szCs w:val="24"/>
        </w:rPr>
        <w:t>’</w:t>
      </w:r>
      <w:r>
        <w:rPr>
          <w:rFonts w:eastAsia="Times New Roman" w:cs="Times New Roman"/>
          <w:sz w:val="24"/>
          <w:szCs w:val="24"/>
        </w:rPr>
        <w:t>)</w:t>
      </w:r>
      <w:r w:rsidRPr="005C7552">
        <w:rPr>
          <w:rFonts w:eastAsia="Times New Roman" w:cs="Times New Roman"/>
          <w:sz w:val="24"/>
          <w:szCs w:val="24"/>
        </w:rPr>
        <w:t>? Er der skrevet for at støtte op om eller fremme nogles interesser?</w:t>
      </w:r>
    </w:p>
    <w:p w14:paraId="151F6143" w14:textId="77777777" w:rsidR="003414BF" w:rsidRPr="005C7552" w:rsidRDefault="003414BF" w:rsidP="003414BF">
      <w:pPr>
        <w:rPr>
          <w:sz w:val="24"/>
          <w:szCs w:val="24"/>
        </w:rPr>
      </w:pPr>
      <w:r w:rsidRPr="005C7552">
        <w:rPr>
          <w:sz w:val="24"/>
          <w:szCs w:val="24"/>
        </w:rPr>
        <w:t xml:space="preserve">13. </w:t>
      </w:r>
      <w:r w:rsidRPr="005C7552">
        <w:rPr>
          <w:b/>
          <w:sz w:val="24"/>
          <w:szCs w:val="24"/>
        </w:rPr>
        <w:t>’Samtidighed</w:t>
      </w:r>
      <w:r w:rsidRPr="005C7552">
        <w:rPr>
          <w:sz w:val="24"/>
          <w:szCs w:val="24"/>
        </w:rPr>
        <w:t xml:space="preserve">’ – ofte – ikke altid - er ’den bedste kilde’ samtidighed med den begivenhed, der skildres. </w:t>
      </w:r>
    </w:p>
    <w:p w14:paraId="6FE30407" w14:textId="77777777" w:rsidR="003414BF" w:rsidRPr="005C7552" w:rsidRDefault="003414BF" w:rsidP="003414BF">
      <w:pPr>
        <w:rPr>
          <w:rFonts w:cs="Times New Roman"/>
          <w:sz w:val="24"/>
          <w:szCs w:val="24"/>
        </w:rPr>
      </w:pPr>
      <w:r w:rsidRPr="005C7552">
        <w:rPr>
          <w:sz w:val="24"/>
          <w:szCs w:val="24"/>
        </w:rPr>
        <w:t xml:space="preserve">14. </w:t>
      </w:r>
      <w:r w:rsidRPr="005C7552">
        <w:rPr>
          <w:rFonts w:cs="Times New Roman"/>
          <w:b/>
          <w:sz w:val="24"/>
          <w:szCs w:val="24"/>
        </w:rPr>
        <w:t>Normativ og deskriptive kilder</w:t>
      </w:r>
      <w:r w:rsidRPr="005C7552">
        <w:rPr>
          <w:rFonts w:cs="Times New Roman"/>
          <w:sz w:val="24"/>
          <w:szCs w:val="24"/>
        </w:rPr>
        <w:t xml:space="preserve"> – </w:t>
      </w:r>
      <w:r w:rsidRPr="005C7552">
        <w:rPr>
          <w:rFonts w:cs="Arial"/>
          <w:bCs/>
          <w:color w:val="575757"/>
          <w:sz w:val="24"/>
          <w:szCs w:val="24"/>
        </w:rPr>
        <w:t>normativ</w:t>
      </w:r>
      <w:r w:rsidRPr="005C7552">
        <w:rPr>
          <w:rFonts w:cs="Arial"/>
          <w:color w:val="424242"/>
          <w:sz w:val="24"/>
          <w:szCs w:val="24"/>
        </w:rPr>
        <w:t xml:space="preserve"> kilder fastsætter, hvordan noget bør være eller bør gøres (fx lovtekster eller politiske programmer). Deskriptiv betyder beskrivende og henfører til kilder som fortæller en historie.</w:t>
      </w:r>
    </w:p>
    <w:p w14:paraId="731E85B0" w14:textId="77777777" w:rsidR="003414BF" w:rsidRPr="006B0DDA" w:rsidRDefault="003414BF" w:rsidP="003414BF">
      <w:pPr>
        <w:rPr>
          <w:sz w:val="24"/>
          <w:szCs w:val="24"/>
        </w:rPr>
      </w:pPr>
      <w:r w:rsidRPr="005C7552">
        <w:rPr>
          <w:sz w:val="24"/>
          <w:szCs w:val="24"/>
        </w:rPr>
        <w:t xml:space="preserve">15. </w:t>
      </w:r>
      <w:r w:rsidRPr="006B0DDA">
        <w:rPr>
          <w:b/>
          <w:sz w:val="24"/>
          <w:szCs w:val="24"/>
        </w:rPr>
        <w:t xml:space="preserve">Udsagnkraft og </w:t>
      </w:r>
      <w:proofErr w:type="spellStart"/>
      <w:r w:rsidRPr="006B0DDA">
        <w:rPr>
          <w:b/>
          <w:sz w:val="24"/>
          <w:szCs w:val="24"/>
        </w:rPr>
        <w:t>udsagnsevne</w:t>
      </w:r>
      <w:proofErr w:type="spellEnd"/>
      <w:r>
        <w:rPr>
          <w:sz w:val="24"/>
          <w:szCs w:val="24"/>
        </w:rPr>
        <w:t xml:space="preserve">. </w:t>
      </w:r>
      <w:proofErr w:type="spellStart"/>
      <w:r>
        <w:rPr>
          <w:sz w:val="24"/>
          <w:szCs w:val="24"/>
        </w:rPr>
        <w:t>Udsagnsevne</w:t>
      </w:r>
      <w:proofErr w:type="spellEnd"/>
      <w:r>
        <w:rPr>
          <w:sz w:val="24"/>
          <w:szCs w:val="24"/>
        </w:rPr>
        <w:t xml:space="preserve"> – hvad kan kilden oplyse om det emne og problemstilling jeg undersøger? </w:t>
      </w:r>
      <w:proofErr w:type="spellStart"/>
      <w:r>
        <w:rPr>
          <w:sz w:val="24"/>
          <w:szCs w:val="24"/>
        </w:rPr>
        <w:t>Udsagnskraft</w:t>
      </w:r>
      <w:proofErr w:type="spellEnd"/>
      <w:r>
        <w:rPr>
          <w:sz w:val="24"/>
          <w:szCs w:val="24"/>
        </w:rPr>
        <w:t xml:space="preserve"> – hvor stor vægt kan jeg lægge på de oplysninger, jeg har udvundet af kilden?</w:t>
      </w:r>
    </w:p>
    <w:p w14:paraId="74FBA898" w14:textId="77777777" w:rsidR="003414BF" w:rsidRDefault="003414BF" w:rsidP="003414BF">
      <w:pPr>
        <w:rPr>
          <w:rFonts w:cs="Times New Roman"/>
          <w:sz w:val="24"/>
          <w:szCs w:val="24"/>
        </w:rPr>
      </w:pPr>
      <w:r w:rsidRPr="005C7552">
        <w:rPr>
          <w:sz w:val="24"/>
          <w:szCs w:val="24"/>
        </w:rPr>
        <w:t xml:space="preserve">16. </w:t>
      </w:r>
      <w:r w:rsidRPr="00062024">
        <w:rPr>
          <w:rFonts w:cs="Times New Roman"/>
          <w:b/>
          <w:sz w:val="24"/>
          <w:szCs w:val="24"/>
        </w:rPr>
        <w:t>Subjektiv eller objektiv</w:t>
      </w:r>
      <w:r>
        <w:rPr>
          <w:rFonts w:cs="Times New Roman"/>
          <w:sz w:val="24"/>
          <w:szCs w:val="24"/>
        </w:rPr>
        <w:t>. Er kilden subjektiv eller objektiv beskrevet?</w:t>
      </w:r>
    </w:p>
    <w:p w14:paraId="757FD291" w14:textId="77777777" w:rsidR="003414BF" w:rsidRDefault="003414BF" w:rsidP="003414BF">
      <w:pPr>
        <w:rPr>
          <w:rFonts w:cs="Times New Roman"/>
          <w:sz w:val="24"/>
          <w:szCs w:val="24"/>
        </w:rPr>
      </w:pPr>
      <w:r>
        <w:rPr>
          <w:rFonts w:cs="Times New Roman"/>
          <w:sz w:val="24"/>
          <w:szCs w:val="24"/>
        </w:rPr>
        <w:t xml:space="preserve">17. </w:t>
      </w:r>
      <w:r w:rsidRPr="00062024">
        <w:rPr>
          <w:rFonts w:cs="Times New Roman"/>
          <w:b/>
          <w:sz w:val="24"/>
          <w:szCs w:val="24"/>
        </w:rPr>
        <w:t>Offentlig eller privat</w:t>
      </w:r>
      <w:r>
        <w:rPr>
          <w:rFonts w:cs="Times New Roman"/>
          <w:b/>
          <w:sz w:val="24"/>
          <w:szCs w:val="24"/>
        </w:rPr>
        <w:t xml:space="preserve">. </w:t>
      </w:r>
    </w:p>
    <w:p w14:paraId="43BDEE8D" w14:textId="77777777" w:rsidR="003414BF" w:rsidRPr="005C7552" w:rsidRDefault="003414BF" w:rsidP="003414BF">
      <w:pPr>
        <w:rPr>
          <w:rFonts w:cs="Times New Roman"/>
          <w:sz w:val="24"/>
          <w:szCs w:val="24"/>
        </w:rPr>
      </w:pPr>
      <w:r>
        <w:rPr>
          <w:rFonts w:cs="Times New Roman"/>
          <w:sz w:val="24"/>
          <w:szCs w:val="24"/>
        </w:rPr>
        <w:t xml:space="preserve">18. </w:t>
      </w:r>
      <w:r w:rsidRPr="00062024">
        <w:rPr>
          <w:rFonts w:cs="Times New Roman"/>
          <w:b/>
          <w:sz w:val="24"/>
          <w:szCs w:val="24"/>
        </w:rPr>
        <w:t>Genre</w:t>
      </w:r>
      <w:r>
        <w:rPr>
          <w:rFonts w:cs="Times New Roman"/>
          <w:b/>
          <w:sz w:val="24"/>
          <w:szCs w:val="24"/>
        </w:rPr>
        <w:t xml:space="preserve"> </w:t>
      </w:r>
      <w:r>
        <w:rPr>
          <w:rFonts w:cs="Times New Roman"/>
          <w:sz w:val="24"/>
          <w:szCs w:val="24"/>
        </w:rPr>
        <w:t>- Hvilken genre er kilden? Fx tale, dagbog eller avis. På hvilken måde bestemmer genren budskabet?</w:t>
      </w:r>
    </w:p>
    <w:p w14:paraId="68756406" w14:textId="77777777" w:rsidR="003414BF" w:rsidRDefault="003414BF" w:rsidP="003414BF">
      <w:pPr>
        <w:rPr>
          <w:rFonts w:cs="Times New Roman"/>
          <w:sz w:val="24"/>
          <w:szCs w:val="24"/>
        </w:rPr>
      </w:pPr>
      <w:r>
        <w:rPr>
          <w:rFonts w:cs="Times New Roman"/>
          <w:sz w:val="24"/>
          <w:szCs w:val="24"/>
        </w:rPr>
        <w:t>19</w:t>
      </w:r>
      <w:r w:rsidRPr="005C7552">
        <w:rPr>
          <w:rFonts w:cs="Times New Roman"/>
          <w:sz w:val="24"/>
          <w:szCs w:val="24"/>
        </w:rPr>
        <w:t xml:space="preserve">. </w:t>
      </w:r>
      <w:r w:rsidRPr="00E971F7">
        <w:rPr>
          <w:rFonts w:cs="Times New Roman"/>
          <w:b/>
          <w:sz w:val="24"/>
          <w:szCs w:val="24"/>
        </w:rPr>
        <w:t>Primær eller sekundær kilde.</w:t>
      </w:r>
      <w:r>
        <w:rPr>
          <w:rFonts w:cs="Times New Roman"/>
          <w:sz w:val="24"/>
          <w:szCs w:val="24"/>
        </w:rPr>
        <w:t xml:space="preserve"> </w:t>
      </w:r>
    </w:p>
    <w:p w14:paraId="7A8B1AFC" w14:textId="77777777" w:rsidR="003414BF" w:rsidRPr="00E971F7" w:rsidRDefault="003414BF" w:rsidP="003414BF">
      <w:pPr>
        <w:rPr>
          <w:rFonts w:cs="Arial"/>
          <w:sz w:val="24"/>
          <w:szCs w:val="24"/>
        </w:rPr>
      </w:pPr>
      <w:r w:rsidRPr="00E971F7">
        <w:rPr>
          <w:rFonts w:cs="Times New Roman"/>
          <w:b/>
          <w:sz w:val="24"/>
          <w:szCs w:val="24"/>
        </w:rPr>
        <w:t>Primær kilde</w:t>
      </w:r>
      <w:r w:rsidRPr="00E971F7">
        <w:rPr>
          <w:rFonts w:cs="Arial"/>
          <w:sz w:val="24"/>
          <w:szCs w:val="24"/>
        </w:rPr>
        <w:t xml:space="preserve"> er den kilde som er bedst bevaret i forhold til begivenhed.</w:t>
      </w:r>
      <w:r w:rsidRPr="00E971F7">
        <w:rPr>
          <w:rFonts w:cs="Times New Roman"/>
          <w:sz w:val="24"/>
          <w:szCs w:val="24"/>
        </w:rPr>
        <w:t xml:space="preserve"> </w:t>
      </w:r>
      <w:r w:rsidRPr="00E971F7">
        <w:rPr>
          <w:rFonts w:cs="Arial"/>
          <w:sz w:val="24"/>
          <w:szCs w:val="24"/>
        </w:rPr>
        <w:t>Det kan både være en førstehånds- og andenhåndsberetning, et Levn eller en beretning. Hvorvidt en kilde er primær eller sekundær handler i bund og grund om dens afhængighed eller uafhængighed. Her menes der at en primær kilde er uafhængig da den er først til at berette om begivenhed. Imens den sekundære er afhængig af den primære kilde og/eller andre sekundære kilder. Hvis den primære kilde forsvinder, bliver den sekundære kilde, som er tættest på den primære, nu til primær kilde. Eksempel: Soldat beretter om 1. Verdenskrig igennem dagbog (primær). Dagbogen bliver brugt i en historisk fremstilling (sekundær). Dagbogen forsvinder i brand og den historiske fremstilling bliver nu til primær kilde. Spørgsmålet om hvorvidt en kilde er primær eller sekundær er relevant for kildens troværdighed.</w:t>
      </w:r>
    </w:p>
    <w:p w14:paraId="45972976" w14:textId="77777777" w:rsidR="003414BF" w:rsidRPr="00E971F7" w:rsidRDefault="003414BF" w:rsidP="003414BF">
      <w:pPr>
        <w:widowControl w:val="0"/>
        <w:autoSpaceDE w:val="0"/>
        <w:autoSpaceDN w:val="0"/>
        <w:adjustRightInd w:val="0"/>
        <w:spacing w:after="0"/>
        <w:rPr>
          <w:rFonts w:cs="Arial"/>
          <w:b/>
          <w:bCs/>
          <w:sz w:val="24"/>
          <w:szCs w:val="24"/>
        </w:rPr>
      </w:pPr>
      <w:r w:rsidRPr="00E971F7">
        <w:rPr>
          <w:rFonts w:cs="Arial"/>
          <w:b/>
          <w:bCs/>
          <w:sz w:val="24"/>
          <w:szCs w:val="24"/>
        </w:rPr>
        <w:t>Sekundær kilde</w:t>
      </w:r>
      <w:r w:rsidRPr="00E971F7">
        <w:rPr>
          <w:rFonts w:cs="Arial"/>
          <w:sz w:val="24"/>
          <w:szCs w:val="24"/>
        </w:rPr>
        <w:t xml:space="preserve"> er afhængig af den primære kilde og bygger sin viden på denne. Der kan ikke eksistere en sekundær kilde hvis der ikke findes en primær kilde. I modsætning til den primære kan en sekundær kilde IKKE være en førstehåndsberetning, da dette naturligvis kræver at man var til stede i selve situationen, hvilket automatisk ville gøre én til primær. Eksempel: Anna og Nathalie </w:t>
      </w:r>
      <w:r w:rsidRPr="00E971F7">
        <w:rPr>
          <w:rFonts w:cs="Arial"/>
          <w:sz w:val="24"/>
          <w:szCs w:val="24"/>
        </w:rPr>
        <w:lastRenderedPageBreak/>
        <w:t>er i byen og oplever en masse. De er primær og førstehåndskilder. De fortæller om oplevelserne og han bliver sekundær og andenhånds kilde. Pigerne dør og Mads er nu primær kilde, men dog stadig andenhånds kilde.</w:t>
      </w:r>
    </w:p>
    <w:p w14:paraId="531E6DB5" w14:textId="77777777" w:rsidR="003414BF" w:rsidRPr="00E971F7" w:rsidRDefault="003414BF" w:rsidP="003414BF">
      <w:pPr>
        <w:rPr>
          <w:rFonts w:cs="Times New Roman"/>
          <w:sz w:val="24"/>
          <w:szCs w:val="24"/>
        </w:rPr>
      </w:pPr>
    </w:p>
    <w:p w14:paraId="51638A6D" w14:textId="77777777" w:rsidR="003414BF" w:rsidRPr="005C7552" w:rsidRDefault="003414BF" w:rsidP="003414BF">
      <w:pPr>
        <w:rPr>
          <w:sz w:val="24"/>
          <w:szCs w:val="24"/>
        </w:rPr>
      </w:pPr>
    </w:p>
    <w:p w14:paraId="72C250FC" w14:textId="77777777" w:rsidR="003414BF" w:rsidRPr="005C7552" w:rsidRDefault="003414BF" w:rsidP="003414BF">
      <w:pPr>
        <w:spacing w:line="240" w:lineRule="auto"/>
        <w:rPr>
          <w:sz w:val="28"/>
          <w:szCs w:val="28"/>
        </w:rPr>
      </w:pPr>
    </w:p>
    <w:p w14:paraId="23A9C823" w14:textId="77777777" w:rsidR="006D09E5" w:rsidRDefault="006572EF"/>
    <w:sectPr w:rsidR="006D09E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BF"/>
    <w:rsid w:val="003414BF"/>
    <w:rsid w:val="006572EF"/>
    <w:rsid w:val="00730DDC"/>
    <w:rsid w:val="007D36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98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BF"/>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73BDBF7618604EB9BA834061CD2B90" ma:contentTypeVersion="13" ma:contentTypeDescription="Opret et nyt dokument." ma:contentTypeScope="" ma:versionID="72888e470711333823401c16e2f83a8b">
  <xsd:schema xmlns:xsd="http://www.w3.org/2001/XMLSchema" xmlns:xs="http://www.w3.org/2001/XMLSchema" xmlns:p="http://schemas.microsoft.com/office/2006/metadata/properties" xmlns:ns3="0c0a80c4-d205-4d53-9003-58f73e2105bb" xmlns:ns4="5282927f-333e-4cde-be21-d01884a8aa89" targetNamespace="http://schemas.microsoft.com/office/2006/metadata/properties" ma:root="true" ma:fieldsID="430c36156a8e58bb9b46eeb83b778f50" ns3:_="" ns4:_="">
    <xsd:import namespace="0c0a80c4-d205-4d53-9003-58f73e2105bb"/>
    <xsd:import namespace="5282927f-333e-4cde-be21-d01884a8aa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a80c4-d205-4d53-9003-58f73e210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2927f-333e-4cde-be21-d01884a8aa89"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SharingHintHash" ma:index="19"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AD718-EE23-47D3-A602-10D1DD96C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a80c4-d205-4d53-9003-58f73e2105bb"/>
    <ds:schemaRef ds:uri="5282927f-333e-4cde-be21-d01884a8a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01903-E5BD-4CCC-9669-805D4679DD27}">
  <ds:schemaRefs>
    <ds:schemaRef ds:uri="http://schemas.microsoft.com/sharepoint/v3/contenttype/forms"/>
  </ds:schemaRefs>
</ds:datastoreItem>
</file>

<file path=customXml/itemProps3.xml><?xml version="1.0" encoding="utf-8"?>
<ds:datastoreItem xmlns:ds="http://schemas.openxmlformats.org/officeDocument/2006/customXml" ds:itemID="{A5149C6C-A3CB-4B5B-B0B3-90B2188044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0a80c4-d205-4d53-9003-58f73e2105bb"/>
    <ds:schemaRef ds:uri="5282927f-333e-4cde-be21-d01884a8aa8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4715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Stubkjær Hüttel</dc:creator>
  <cp:keywords/>
  <dc:description/>
  <cp:lastModifiedBy>Christoffer Østergaard Carstens</cp:lastModifiedBy>
  <cp:revision>2</cp:revision>
  <dcterms:created xsi:type="dcterms:W3CDTF">2021-01-18T10:25:00Z</dcterms:created>
  <dcterms:modified xsi:type="dcterms:W3CDTF">2021-01-18T10:25:00Z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0x0101005873BDBF7618604EB9BA834061CD2B90</vt:lpwstr>
  </property>
</Properties>
</file>