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B71C" w14:textId="60D40FB2" w:rsidR="00F603BB" w:rsidRDefault="006E4254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Begrebsliste til forløbet ´Familien og individet i det senmoderne samfund´</w:t>
      </w:r>
    </w:p>
    <w:p w14:paraId="426B13BA" w14:textId="20E0AE46" w:rsidR="006E4254" w:rsidRDefault="006E4254">
      <w:pPr>
        <w:rPr>
          <w:rFonts w:ascii="Avenir Next LT Pro" w:hAnsi="Avenir Next LT Pro"/>
          <w:b/>
          <w:bCs/>
          <w:sz w:val="28"/>
          <w:szCs w:val="28"/>
        </w:rPr>
      </w:pPr>
    </w:p>
    <w:p w14:paraId="668A75E4" w14:textId="5E6BD8A4" w:rsidR="006E4254" w:rsidRDefault="006E425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Vi nærmer os afslutningen på jeres sociologiforløb. Endnu en gang er det for jeres egen skyld rigtig godt med en overskuelig liste med de forskellige begreber, vi har været igennem – så er det alt andet lige nemmere at huske, og dermed bruge begreberne senere. Vi starter på begreberne, selvom vi ikke er helt igennem dem alle endnu.</w:t>
      </w:r>
    </w:p>
    <w:p w14:paraId="6A62E4F7" w14:textId="6EF6CC51" w:rsidR="006D1D76" w:rsidRDefault="006D1D76">
      <w:pPr>
        <w:rPr>
          <w:rFonts w:ascii="Avenir Next LT Pro" w:hAnsi="Avenir Next LT Pr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1D76" w14:paraId="359BCE04" w14:textId="77777777" w:rsidTr="006D1D76">
        <w:tc>
          <w:tcPr>
            <w:tcW w:w="4814" w:type="dxa"/>
          </w:tcPr>
          <w:p w14:paraId="2AA56369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Socialisering</w:t>
            </w:r>
          </w:p>
          <w:p w14:paraId="38CCA09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Primær</w:t>
            </w:r>
          </w:p>
          <w:p w14:paraId="540FB61B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Sekundær</w:t>
            </w:r>
          </w:p>
          <w:p w14:paraId="50FFC584" w14:textId="55B0A8F4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Dobbeltsocialisering</w:t>
            </w:r>
          </w:p>
        </w:tc>
        <w:tc>
          <w:tcPr>
            <w:tcW w:w="4814" w:type="dxa"/>
          </w:tcPr>
          <w:p w14:paraId="7F492EF8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61A1F580" w14:textId="77777777" w:rsidTr="006D1D76">
        <w:tc>
          <w:tcPr>
            <w:tcW w:w="4814" w:type="dxa"/>
          </w:tcPr>
          <w:p w14:paraId="353B34EA" w14:textId="2AF18F19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Socialiseringsarena</w:t>
            </w:r>
          </w:p>
        </w:tc>
        <w:tc>
          <w:tcPr>
            <w:tcW w:w="4814" w:type="dxa"/>
          </w:tcPr>
          <w:p w14:paraId="3B69B718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E64CCE4" w14:textId="77777777" w:rsidTr="006D1D76">
        <w:tc>
          <w:tcPr>
            <w:tcW w:w="4814" w:type="dxa"/>
          </w:tcPr>
          <w:p w14:paraId="176512E7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Lars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Deciks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familietyper</w:t>
            </w:r>
          </w:p>
          <w:p w14:paraId="43DBCDA1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Teamfamilien</w:t>
            </w:r>
          </w:p>
          <w:p w14:paraId="60F1C1DA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Svingdørsfamilien</w:t>
            </w:r>
          </w:p>
          <w:p w14:paraId="6C34E1A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patriarkalske familie</w:t>
            </w:r>
          </w:p>
          <w:p w14:paraId="1D540AEA" w14:textId="054A9D85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Socialt akvarium</w:t>
            </w:r>
          </w:p>
        </w:tc>
        <w:tc>
          <w:tcPr>
            <w:tcW w:w="4814" w:type="dxa"/>
          </w:tcPr>
          <w:p w14:paraId="3C337D90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B89FB96" w14:textId="77777777" w:rsidTr="006D1D76">
        <w:tc>
          <w:tcPr>
            <w:tcW w:w="4814" w:type="dxa"/>
          </w:tcPr>
          <w:p w14:paraId="2697BE3E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Normer</w:t>
            </w:r>
          </w:p>
          <w:p w14:paraId="56901794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Formelle</w:t>
            </w:r>
          </w:p>
          <w:p w14:paraId="1C14F68F" w14:textId="33B44416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Uformelle</w:t>
            </w:r>
          </w:p>
        </w:tc>
        <w:tc>
          <w:tcPr>
            <w:tcW w:w="4814" w:type="dxa"/>
          </w:tcPr>
          <w:p w14:paraId="6B439A79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7DEA4FC8" w14:textId="77777777" w:rsidTr="006D1D76">
        <w:tc>
          <w:tcPr>
            <w:tcW w:w="4814" w:type="dxa"/>
          </w:tcPr>
          <w:p w14:paraId="064DC997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Sanktioner</w:t>
            </w:r>
          </w:p>
          <w:p w14:paraId="17856510" w14:textId="5C847CD4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 kontrol</w:t>
            </w:r>
          </w:p>
        </w:tc>
        <w:tc>
          <w:tcPr>
            <w:tcW w:w="4814" w:type="dxa"/>
          </w:tcPr>
          <w:p w14:paraId="7382D9CC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3616AA42" w14:textId="77777777" w:rsidTr="006D1D76">
        <w:tc>
          <w:tcPr>
            <w:tcW w:w="4814" w:type="dxa"/>
          </w:tcPr>
          <w:p w14:paraId="11AA8242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Sociale roller</w:t>
            </w:r>
          </w:p>
          <w:p w14:paraId="2103A26B" w14:textId="1865559C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Rollekonflikt</w:t>
            </w:r>
          </w:p>
        </w:tc>
        <w:tc>
          <w:tcPr>
            <w:tcW w:w="4814" w:type="dxa"/>
          </w:tcPr>
          <w:p w14:paraId="237AB8F7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2FCB88D6" w14:textId="77777777" w:rsidTr="006D1D76">
        <w:tc>
          <w:tcPr>
            <w:tcW w:w="4814" w:type="dxa"/>
          </w:tcPr>
          <w:p w14:paraId="24A60432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Carsten Rene Jørgensen fire identitetsniveauer</w:t>
            </w:r>
          </w:p>
          <w:p w14:paraId="5F41F9F6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Jeg-identitet</w:t>
            </w:r>
          </w:p>
          <w:p w14:paraId="112BFF78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Personlig identitet</w:t>
            </w:r>
          </w:p>
          <w:p w14:paraId="0D47D27E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Social identitet</w:t>
            </w:r>
          </w:p>
          <w:p w14:paraId="1E8E673E" w14:textId="267D671E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Kollektiv identitet</w:t>
            </w:r>
          </w:p>
        </w:tc>
        <w:tc>
          <w:tcPr>
            <w:tcW w:w="4814" w:type="dxa"/>
          </w:tcPr>
          <w:p w14:paraId="581B7104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7B2E0C2D" w14:textId="77777777" w:rsidTr="006D1D76">
        <w:tc>
          <w:tcPr>
            <w:tcW w:w="4814" w:type="dxa"/>
          </w:tcPr>
          <w:p w14:paraId="1F482A4D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Sociale grupper</w:t>
            </w:r>
          </w:p>
          <w:p w14:paraId="72D9E0B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Primær gruppe</w:t>
            </w:r>
          </w:p>
          <w:p w14:paraId="2EA87D3B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Sekundær gruppe</w:t>
            </w:r>
          </w:p>
          <w:p w14:paraId="4C05D076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Formel gruppe</w:t>
            </w:r>
          </w:p>
          <w:p w14:paraId="294D69F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Uformel gruppe</w:t>
            </w:r>
          </w:p>
          <w:p w14:paraId="2E4D402D" w14:textId="4CF56F43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Referencegruppe</w:t>
            </w:r>
          </w:p>
        </w:tc>
        <w:tc>
          <w:tcPr>
            <w:tcW w:w="4814" w:type="dxa"/>
          </w:tcPr>
          <w:p w14:paraId="64A3CE4B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7560DAE7" w14:textId="77777777" w:rsidTr="006D1D76">
        <w:tc>
          <w:tcPr>
            <w:tcW w:w="4814" w:type="dxa"/>
          </w:tcPr>
          <w:p w14:paraId="217465CC" w14:textId="71FB8040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Kultur</w:t>
            </w:r>
          </w:p>
        </w:tc>
        <w:tc>
          <w:tcPr>
            <w:tcW w:w="4814" w:type="dxa"/>
          </w:tcPr>
          <w:p w14:paraId="0971FF6E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318DF67" w14:textId="77777777" w:rsidTr="006D1D76">
        <w:tc>
          <w:tcPr>
            <w:tcW w:w="4814" w:type="dxa"/>
          </w:tcPr>
          <w:p w14:paraId="7FD63F0C" w14:textId="77777777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Majoritet</w:t>
            </w:r>
          </w:p>
          <w:p w14:paraId="6C7B1E92" w14:textId="7154F421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Minoritet</w:t>
            </w:r>
          </w:p>
        </w:tc>
        <w:tc>
          <w:tcPr>
            <w:tcW w:w="4814" w:type="dxa"/>
          </w:tcPr>
          <w:p w14:paraId="4A50A6B9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1A075D2D" w14:textId="77777777" w:rsidTr="006D1D76">
        <w:tc>
          <w:tcPr>
            <w:tcW w:w="4814" w:type="dxa"/>
          </w:tcPr>
          <w:p w14:paraId="69D01C5F" w14:textId="61102279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Geert Hofstedes løgmodel</w:t>
            </w:r>
          </w:p>
        </w:tc>
        <w:tc>
          <w:tcPr>
            <w:tcW w:w="4814" w:type="dxa"/>
          </w:tcPr>
          <w:p w14:paraId="6FDD5B60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34FD116A" w14:textId="77777777" w:rsidTr="006D1D76">
        <w:tc>
          <w:tcPr>
            <w:tcW w:w="4814" w:type="dxa"/>
          </w:tcPr>
          <w:p w14:paraId="6DB0FCB4" w14:textId="24B652F2" w:rsidR="006D1D76" w:rsidRDefault="006D1D7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National identitet</w:t>
            </w:r>
          </w:p>
        </w:tc>
        <w:tc>
          <w:tcPr>
            <w:tcW w:w="4814" w:type="dxa"/>
          </w:tcPr>
          <w:p w14:paraId="39DB8153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7F61BD25" w14:textId="77777777" w:rsidTr="006D1D76">
        <w:tc>
          <w:tcPr>
            <w:tcW w:w="4814" w:type="dxa"/>
          </w:tcPr>
          <w:p w14:paraId="518425AF" w14:textId="77777777" w:rsidR="006D1D76" w:rsidRPr="0054759A" w:rsidRDefault="006D1D76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Thomas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Hylland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Eriksens</w:t>
            </w:r>
            <w:r w:rsidR="0054759A" w:rsidRPr="0054759A">
              <w:rPr>
                <w:rFonts w:ascii="Avenir Next LT Pro" w:hAnsi="Avenir Next LT Pro"/>
                <w:b/>
                <w:bCs/>
              </w:rPr>
              <w:t xml:space="preserve"> identitetsvalg hos indvandrere </w:t>
            </w:r>
          </w:p>
          <w:p w14:paraId="7FB17C2C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rene identitet</w:t>
            </w:r>
          </w:p>
          <w:p w14:paraId="61EBE6BB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Bindestregsidentitet</w:t>
            </w:r>
          </w:p>
          <w:p w14:paraId="692CACA7" w14:textId="72C488F9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Den kreolske identitet</w:t>
            </w:r>
          </w:p>
        </w:tc>
        <w:tc>
          <w:tcPr>
            <w:tcW w:w="4814" w:type="dxa"/>
          </w:tcPr>
          <w:p w14:paraId="71E87F1F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6D1D76" w14:paraId="4E3ABAFD" w14:textId="77777777" w:rsidTr="006D1D76">
        <w:tc>
          <w:tcPr>
            <w:tcW w:w="4814" w:type="dxa"/>
          </w:tcPr>
          <w:p w14:paraId="55090F22" w14:textId="77777777" w:rsidR="006D1D76" w:rsidRPr="0054759A" w:rsidRDefault="0054759A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Integration</w:t>
            </w:r>
          </w:p>
          <w:p w14:paraId="6AD5505E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Assimilation</w:t>
            </w:r>
          </w:p>
          <w:p w14:paraId="6B7B237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Segregation</w:t>
            </w:r>
          </w:p>
          <w:p w14:paraId="7B15343C" w14:textId="5348112B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Pluralistisk integration</w:t>
            </w:r>
          </w:p>
        </w:tc>
        <w:tc>
          <w:tcPr>
            <w:tcW w:w="4814" w:type="dxa"/>
          </w:tcPr>
          <w:p w14:paraId="7781EBA9" w14:textId="77777777" w:rsidR="006D1D76" w:rsidRDefault="006D1D76">
            <w:pPr>
              <w:rPr>
                <w:rFonts w:ascii="Avenir Next LT Pro" w:hAnsi="Avenir Next LT Pro"/>
              </w:rPr>
            </w:pPr>
          </w:p>
        </w:tc>
      </w:tr>
      <w:tr w:rsidR="0054759A" w14:paraId="1AA726AA" w14:textId="77777777" w:rsidTr="006D1D76">
        <w:tc>
          <w:tcPr>
            <w:tcW w:w="4814" w:type="dxa"/>
          </w:tcPr>
          <w:p w14:paraId="77D79285" w14:textId="77777777" w:rsidR="0054759A" w:rsidRPr="0054759A" w:rsidRDefault="0054759A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 xml:space="preserve">Axel </w:t>
            </w:r>
            <w:proofErr w:type="spellStart"/>
            <w:r w:rsidRPr="0054759A">
              <w:rPr>
                <w:rFonts w:ascii="Avenir Next LT Pro" w:hAnsi="Avenir Next LT Pro"/>
                <w:b/>
                <w:bCs/>
              </w:rPr>
              <w:t>Honneths</w:t>
            </w:r>
            <w:proofErr w:type="spellEnd"/>
            <w:r w:rsidRPr="0054759A">
              <w:rPr>
                <w:rFonts w:ascii="Avenir Next LT Pro" w:hAnsi="Avenir Next LT Pro"/>
                <w:b/>
                <w:bCs/>
              </w:rPr>
              <w:t xml:space="preserve"> tre anerkendelsesbehov</w:t>
            </w:r>
          </w:p>
          <w:p w14:paraId="243917EF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Kærlighedsanerkendelse</w:t>
            </w:r>
          </w:p>
          <w:p w14:paraId="71297A49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Retlig anerkendelse</w:t>
            </w:r>
          </w:p>
          <w:p w14:paraId="2D54E1A2" w14:textId="0D0208FC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Solidarisk anerkendelse</w:t>
            </w:r>
          </w:p>
        </w:tc>
        <w:tc>
          <w:tcPr>
            <w:tcW w:w="4814" w:type="dxa"/>
          </w:tcPr>
          <w:p w14:paraId="2C60DA65" w14:textId="77777777" w:rsidR="0054759A" w:rsidRDefault="0054759A">
            <w:pPr>
              <w:rPr>
                <w:rFonts w:ascii="Avenir Next LT Pro" w:hAnsi="Avenir Next LT Pro"/>
              </w:rPr>
            </w:pPr>
          </w:p>
        </w:tc>
      </w:tr>
      <w:tr w:rsidR="0054759A" w14:paraId="345BE0AF" w14:textId="77777777" w:rsidTr="006D1D76">
        <w:tc>
          <w:tcPr>
            <w:tcW w:w="4814" w:type="dxa"/>
          </w:tcPr>
          <w:p w14:paraId="3A140078" w14:textId="77777777" w:rsidR="0054759A" w:rsidRPr="0054759A" w:rsidRDefault="0054759A">
            <w:pPr>
              <w:rPr>
                <w:rFonts w:ascii="Avenir Next LT Pro" w:hAnsi="Avenir Next LT Pro"/>
                <w:b/>
                <w:bCs/>
              </w:rPr>
            </w:pPr>
            <w:r w:rsidRPr="0054759A">
              <w:rPr>
                <w:rFonts w:ascii="Avenir Next LT Pro" w:hAnsi="Avenir Next LT Pro"/>
                <w:b/>
                <w:bCs/>
              </w:rPr>
              <w:t>Ervings Goffmans teori om identitetsdannelse</w:t>
            </w:r>
          </w:p>
          <w:p w14:paraId="02F2CD49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Face</w:t>
            </w:r>
          </w:p>
          <w:p w14:paraId="5FE317B3" w14:textId="77777777" w:rsidR="0054759A" w:rsidRDefault="0054759A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Setting</w:t>
            </w:r>
            <w:proofErr w:type="spellEnd"/>
          </w:p>
          <w:p w14:paraId="061856F0" w14:textId="77777777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Frontstage</w:t>
            </w:r>
          </w:p>
          <w:p w14:paraId="356A9467" w14:textId="34E2D779" w:rsidR="0054759A" w:rsidRDefault="0054759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Backstage</w:t>
            </w:r>
          </w:p>
        </w:tc>
        <w:tc>
          <w:tcPr>
            <w:tcW w:w="4814" w:type="dxa"/>
          </w:tcPr>
          <w:p w14:paraId="54CC1559" w14:textId="77777777" w:rsidR="0054759A" w:rsidRDefault="0054759A">
            <w:pPr>
              <w:rPr>
                <w:rFonts w:ascii="Avenir Next LT Pro" w:hAnsi="Avenir Next LT Pro"/>
              </w:rPr>
            </w:pPr>
          </w:p>
        </w:tc>
      </w:tr>
    </w:tbl>
    <w:p w14:paraId="0D09318C" w14:textId="77777777" w:rsidR="006D1D76" w:rsidRPr="006E4254" w:rsidRDefault="006D1D76">
      <w:pPr>
        <w:rPr>
          <w:rFonts w:ascii="Avenir Next LT Pro" w:hAnsi="Avenir Next LT Pro"/>
        </w:rPr>
      </w:pPr>
    </w:p>
    <w:sectPr w:rsidR="006D1D76" w:rsidRPr="006E425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C1D7" w14:textId="77777777" w:rsidR="00F807E9" w:rsidRDefault="00F807E9" w:rsidP="006E4254">
      <w:r>
        <w:separator/>
      </w:r>
    </w:p>
  </w:endnote>
  <w:endnote w:type="continuationSeparator" w:id="0">
    <w:p w14:paraId="7BF3DA11" w14:textId="77777777" w:rsidR="00F807E9" w:rsidRDefault="00F807E9" w:rsidP="006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66F7" w14:textId="77777777" w:rsidR="00F807E9" w:rsidRDefault="00F807E9" w:rsidP="006E4254">
      <w:r>
        <w:separator/>
      </w:r>
    </w:p>
  </w:footnote>
  <w:footnote w:type="continuationSeparator" w:id="0">
    <w:p w14:paraId="2BA27F9B" w14:textId="77777777" w:rsidR="00F807E9" w:rsidRDefault="00F807E9" w:rsidP="006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F1B9" w14:textId="77777777" w:rsidR="006E4254" w:rsidRPr="000B0C01" w:rsidRDefault="006E4254" w:rsidP="006E425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Familien og individet i det senmoderne samfund</w:t>
    </w:r>
    <w:r w:rsidRPr="000B0C01">
      <w:rPr>
        <w:rFonts w:ascii="Avenir Next LT Pro" w:hAnsi="Avenir Next LT Pro"/>
        <w:sz w:val="22"/>
        <w:szCs w:val="22"/>
      </w:rPr>
      <w:tab/>
      <w:t>Samfundsfag</w:t>
    </w:r>
  </w:p>
  <w:p w14:paraId="5064309B" w14:textId="77777777" w:rsidR="006E4254" w:rsidRPr="005611C9" w:rsidRDefault="006E4254" w:rsidP="006E4254">
    <w:pPr>
      <w:pStyle w:val="Sidehoved"/>
      <w:rPr>
        <w:rFonts w:ascii="Avenir Next LT Pro" w:hAnsi="Avenir Next LT Pro"/>
        <w:sz w:val="22"/>
        <w:szCs w:val="22"/>
      </w:rPr>
    </w:pPr>
    <w:r w:rsidRPr="000B0C01">
      <w:rPr>
        <w:rFonts w:ascii="Avenir Next LT Pro" w:hAnsi="Avenir Next LT Pro"/>
        <w:sz w:val="22"/>
        <w:szCs w:val="22"/>
      </w:rPr>
      <w:t>Sociologi</w:t>
    </w:r>
  </w:p>
  <w:p w14:paraId="40DD6121" w14:textId="77777777" w:rsidR="006E4254" w:rsidRDefault="006E425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54"/>
    <w:rsid w:val="001A4AA9"/>
    <w:rsid w:val="0054759A"/>
    <w:rsid w:val="006D1D76"/>
    <w:rsid w:val="006E4254"/>
    <w:rsid w:val="00833FDE"/>
    <w:rsid w:val="00913D05"/>
    <w:rsid w:val="00F603BB"/>
    <w:rsid w:val="00F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EC90A"/>
  <w15:chartTrackingRefBased/>
  <w15:docId w15:val="{A7A49D18-8C44-7340-93D6-DB47151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42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4254"/>
  </w:style>
  <w:style w:type="paragraph" w:styleId="Sidefod">
    <w:name w:val="footer"/>
    <w:basedOn w:val="Normal"/>
    <w:link w:val="SidefodTegn"/>
    <w:uiPriority w:val="99"/>
    <w:unhideWhenUsed/>
    <w:rsid w:val="006E42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4254"/>
  </w:style>
  <w:style w:type="table" w:styleId="Tabel-Gitter">
    <w:name w:val="Table Grid"/>
    <w:basedOn w:val="Tabel-Normal"/>
    <w:uiPriority w:val="39"/>
    <w:rsid w:val="006D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2</cp:revision>
  <dcterms:created xsi:type="dcterms:W3CDTF">2023-01-17T08:00:00Z</dcterms:created>
  <dcterms:modified xsi:type="dcterms:W3CDTF">2023-01-17T08:30:00Z</dcterms:modified>
</cp:coreProperties>
</file>