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FC62" w14:textId="77777777" w:rsidR="00922EED" w:rsidRDefault="00922EED" w:rsidP="00922EED">
      <w:pPr>
        <w:shd w:val="clear" w:color="auto" w:fill="FFFFFF"/>
        <w:spacing w:line="300" w:lineRule="atLeast"/>
        <w:rPr>
          <w:rFonts w:ascii="Trebuchet MS" w:eastAsia="Times New Roman" w:hAnsi="Trebuchet MS" w:cs="Times New Roman"/>
          <w:b/>
          <w:bCs/>
          <w:caps/>
          <w:color w:val="6E6E6E"/>
          <w:sz w:val="21"/>
          <w:szCs w:val="21"/>
          <w:lang w:eastAsia="da-DK"/>
        </w:rPr>
      </w:pPr>
    </w:p>
    <w:p w14:paraId="3C72DEAB" w14:textId="77777777" w:rsidR="00922EED" w:rsidRPr="00922EED" w:rsidRDefault="00922EED" w:rsidP="00922EED">
      <w:pPr>
        <w:shd w:val="clear" w:color="auto" w:fill="FFFFFF"/>
        <w:spacing w:line="300" w:lineRule="atLeast"/>
        <w:rPr>
          <w:rFonts w:ascii="Verdana" w:eastAsia="Times New Roman" w:hAnsi="Verdana" w:cs="Times New Roman"/>
          <w:color w:val="464646"/>
          <w:sz w:val="20"/>
          <w:szCs w:val="20"/>
          <w:lang w:eastAsia="da-DK"/>
        </w:rPr>
      </w:pPr>
      <w:r w:rsidRPr="00922EED">
        <w:rPr>
          <w:rFonts w:ascii="Trebuchet MS" w:eastAsia="Times New Roman" w:hAnsi="Trebuchet MS" w:cs="Times New Roman"/>
          <w:b/>
          <w:bCs/>
          <w:caps/>
          <w:color w:val="6E6E6E"/>
          <w:sz w:val="21"/>
          <w:szCs w:val="21"/>
          <w:lang w:eastAsia="da-DK"/>
        </w:rPr>
        <w:t>KOLD KRIG OG VELFÆRDSSTAT, 1945-1973</w:t>
      </w:r>
    </w:p>
    <w:p w14:paraId="1DD52043" w14:textId="77777777" w:rsidR="00922EED" w:rsidRPr="00922EED" w:rsidRDefault="00922EED" w:rsidP="00922EED">
      <w:pPr>
        <w:shd w:val="clear" w:color="auto" w:fill="FFFFFF"/>
        <w:spacing w:after="285" w:line="495" w:lineRule="atLeast"/>
        <w:outlineLvl w:val="1"/>
        <w:rPr>
          <w:rFonts w:ascii="Trebuchet MS" w:eastAsia="Times New Roman" w:hAnsi="Trebuchet MS" w:cs="Times New Roman"/>
          <w:caps/>
          <w:color w:val="464646"/>
          <w:sz w:val="42"/>
          <w:szCs w:val="42"/>
          <w:lang w:eastAsia="da-DK"/>
        </w:rPr>
      </w:pPr>
      <w:r w:rsidRPr="00922EED">
        <w:rPr>
          <w:rFonts w:ascii="Trebuchet MS" w:eastAsia="Times New Roman" w:hAnsi="Trebuchet MS" w:cs="Times New Roman"/>
          <w:caps/>
          <w:color w:val="464646"/>
          <w:sz w:val="42"/>
          <w:szCs w:val="42"/>
          <w:lang w:eastAsia="da-DK"/>
        </w:rPr>
        <w:t>VELFÆRDSSTATEN</w:t>
      </w:r>
    </w:p>
    <w:p w14:paraId="14437186"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Op gennem 1950'erne stødte man stedse hyppigere på begreberne velfærdsstat og velfærdssamfund. Heri lå en forestilling om, at såvel samfundet i sin helhed som dets individer skulle gives de bedste muligheder for at udvikle et bestandigt større mål af rigdom. Samtidig lå der i velfærdstankerne en opfattelse af, at staten burde blande sig aktivt i borgernes liv og garantere social sikkerhed samt give adgang til sundhedsmæssige og uddannelsesmæssige ydelser. Argumentationen drejede sig både om solidaritet og om, at et netværk af velfærdsydelser i sidste ende kunne betale sig for samfundsøkonomien.</w:t>
      </w:r>
    </w:p>
    <w:p w14:paraId="7A66EA95"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Ideerne bag velfærdsstaten kom til udtryk i de fleste vestlige lande efter 1945, men vejene til deres virkeliggørelse blev forskellige. I lande, hvor liberale og konservative partier var dominerende, satsede man mest på systemer byggende på privat forsikring mod arbejdsløshed, sygdom osv. I andre lande, herunder Danmark, Storbritannien og Sverige, fik de nye tanker deres særlige præg af socialdemokratierne.</w:t>
      </w:r>
    </w:p>
    <w:p w14:paraId="59424C37"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Socialdemokratiet var Danmarks ubestridt største parti og desuden regeringsbærende det meste af tiden fra 1929 til 1982. Denne indflydelse blev brugt til ikke blot at lade staten stå som initiativtager til og garant for velfærdstiltag, men fra cirka 1960 også til at lade den finansiere og administrere disse i en arbejdsdeling med kommunerne. Målet var en aktiv, omfattende stat inden for teoretisk set alle sfærer af samfundslivet - også de dele, der hidtil havde været betragtet som hørende under privatlivet eller familien. Den skulle sikre alle lige muligheder uanset baggrund og formåen. Et ideal om lighed, økonomisk som socialt, var fremtrædende.</w:t>
      </w:r>
    </w:p>
    <w:p w14:paraId="5F72BE02"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I begyndelsen gik udviklingen dog relativt trægt. Loven om folkepension fra 1956 kan fremhæves som et af de få succesfulde velfærdsinitiativer i tiden før 1960. Den økonomiske situation blokerede for mere vidtgående tiltag, og Venstre og De Konservative var generelt skeptiske over for den socialdemokratiske skatteudskrivningsiver, selvom de ikke var uenige i alle de bagvedliggende tanker. Den økonomiske situation ændrede sig til det bedre fra og med 1958, hvor den vestlige højkonjunktur, som var startet omkring 1950, endelig fik tag i Danmark. I løbet af de næste to år faldt arbejdsløsheden fra 10 til 5 %, og videre ned under 2 % ved 1960'ernes midte. Opbygningen af velfærdsstaten blev for alvor mulig.</w:t>
      </w:r>
    </w:p>
    <w:p w14:paraId="4FF03F5F"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lastRenderedPageBreak/>
        <w:t>Fra 1960 gik udviklingen af det velfærdsstatslige projekt stærkt - især i årene 1965-1976. Danmark fik et omfattende hospitalsvæsen og et fintmasket net af ordninger, der kunne yde sine indbyggere et vist mindstemål af økonomisk sikkerhed i tilfælde af sygdom og invaliditet. Der kom plejehjem for handicappede og syge, et uddannelsessystem, der i princippet gav alle mulighed for at uddanne sig så godt som deres evner tillod, og vuggestuer og børnehaver og fritidshjem og ungdomsklubber, hvor børnene fik mad og blev opdraget, mens far, og i stigende grad også mor, gik på arbejde og tjente familien rigere end nogensinde før i Danmarkshistorien. Systemet blev udformet som en "universalistisk" service, der blev ydet efter kriterier, som principielt var ens for alle. Omkostningerne i form af det voksende skattetryk var til at leve med i en tid, hvor både reallønnen og forbruget voksede meget hurtigt.</w:t>
      </w:r>
    </w:p>
    <w:p w14:paraId="4EBC07E3"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Omfanget af den velfærdsstatslige udvikling kan eksemplificeres ved arbejdsstyrkens fordeling. I 1950 udgjorde de offentligt ansatte knap 8% af den samlede arbejdsstyrke, i 1960 10,3%, men i 1975 23,6%, og i 1992 30,7%. Den del af de økonomiske midler, som strømmede gennem de offentlige kasser, steg fra 25 % i 1960 til 45% i 1973.</w:t>
      </w:r>
    </w:p>
    <w:p w14:paraId="1E876A48"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4C050553"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77AA31B1" w14:textId="77777777" w:rsidR="00922EED" w:rsidRDefault="00922EED" w:rsidP="00922EED">
      <w:pPr>
        <w:pStyle w:val="Overskrift2"/>
        <w:shd w:val="clear" w:color="auto" w:fill="FFFFFF"/>
        <w:spacing w:before="0" w:beforeAutospacing="0" w:after="285" w:afterAutospacing="0" w:line="495" w:lineRule="atLeast"/>
        <w:rPr>
          <w:rFonts w:ascii="Trebuchet MS" w:hAnsi="Trebuchet MS"/>
          <w:b w:val="0"/>
          <w:bCs w:val="0"/>
          <w:caps/>
          <w:color w:val="464646"/>
          <w:sz w:val="42"/>
          <w:szCs w:val="42"/>
        </w:rPr>
      </w:pPr>
      <w:r>
        <w:rPr>
          <w:rFonts w:ascii="Trebuchet MS" w:hAnsi="Trebuchet MS"/>
          <w:b w:val="0"/>
          <w:bCs w:val="0"/>
          <w:caps/>
          <w:color w:val="464646"/>
          <w:sz w:val="42"/>
          <w:szCs w:val="42"/>
        </w:rPr>
        <w:t>HØJKONJUNKTUREN 1958-73</w:t>
      </w:r>
    </w:p>
    <w:p w14:paraId="57414CC2"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Omkring 1958 nåede den vestlige højkonjunktur til Danmark. I forhold til perioden 1950-57 næsten fordobledes den gennemsnitlige årlige vækstrate i perioden 1958-70, nemlig til 5 %, og hermed spurtede Danmark med hensyn til økonomisk udvikling fra en bagtropsplacering frem i det internationale førerfelt.</w:t>
      </w:r>
    </w:p>
    <w:p w14:paraId="7F2A993F"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Væksten var dog ikke jævnt fordelt på de forskellige sektorer. Industriproduktionen stod for hovedparten. Den viste sig fra slutningen af 1950'erne at være fleksibel og godt indrettet til at imødekomme de forbrugsbehov, den internationale højkonjunktur skabte. Hertil var den gennem 1950'erne godt hjulpet af en lovgivning, som gav gode muligheder for tilskud til virksomheder, der etablerede sig i arbejdskraftsrige egnsudviklingsområder, ligesom skattelovgivningen befordrede investeringslysten. Hermed kunne sunde virksomheder med moderne, attraktive produkter udvikle sig over hele landet. Flagskibe var virksomheder som Danfoss, Lego og B&amp;O, men underskoven af små og mellemstore virksomheder blev de typiske for den danske udvikling.</w:t>
      </w:r>
    </w:p>
    <w:p w14:paraId="2045FFDF"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lastRenderedPageBreak/>
        <w:t>Allerede i starten af 1950'erne havde industriens andel af bruttofaktorindkomsten overhalet landbrugets. I starten af 1960'erne blev industriens eksport større end landbrugets, også selvom landbrugseksporten indregnede de industrielt forarbejdede fødevareprodukter. Landbruget derimod stagnerede. Den succes, som Danmark havde haft med landbrugseksporten i de første efterkrigsår, kunne ikke gentages, nu da de store vesteuropæiske markeder havde genopbygget egne nationale landbrugsproduktioner. Danmarks udvikling fra et overvejende landbrugsland til et moderne industriland var omkring 1960 endelig fuldbyrdet. I takt hermed fortsatte de forrige årtiers flytning fra land til by. De store provinsbyer svulmede, landsbyerne skrumpede. Arbejdet og mulighederne lå i byerne - ikke mindst for de mange flere unge, der skulle have videregående uddannelser.</w:t>
      </w:r>
    </w:p>
    <w:p w14:paraId="3875DCC3"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En stor del af væksten fandt sted i de tertiære erhverv, dvs. erhverv funderet i service og tjenesteydelser. Denne udvikling hang til dels sammen med væksten i industriproduktionen; fordoblingen heri mellem 1958 og 1970 gav en stigning i de traditionelle serviceerhverv inden for handels- og kontorområdet. Men først og fremmest skyldtes væksten i den tertiære sektor væksten i den offentlige sektor. På trods af en massiv vækst i det totale antal mennesker på arbejdsmarkedet igennem 1960'erne og videre ind i de næste to årtier faldt industriens andel af beskæftigede. Den del af det private erhvervsliv, som fik flere beskæftigede, var nye servicebetonede virksomheder – men det offentlige opslugte totalt set lidt mere end den ny arbejdskraft, der kom til.</w:t>
      </w:r>
    </w:p>
    <w:p w14:paraId="1CA2FB03"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Med den økonomiske vækst fulgte en stigning i samfundets velstand, og med velfærdssystemet kom velstanden flere til gode - om end naturligvis i forskelligt omfang. Den kunne måles på stigningen i forbruget af varer, som hidtil havde været anset som luksusartikler, men som nu for alvor vandt indpas og efterhånden blev betragtede som nødvendige, såsom køleskabe, tv-apparater, biler og større boliger.</w:t>
      </w:r>
    </w:p>
    <w:p w14:paraId="33845139"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 xml:space="preserve">Med bilerne opstod et behov for udbygning af vejnettet, og med de nye boligønsker fulgte </w:t>
      </w:r>
      <w:proofErr w:type="spellStart"/>
      <w:r w:rsidRPr="00922EED">
        <w:rPr>
          <w:rFonts w:ascii="Verdana" w:hAnsi="Verdana"/>
          <w:color w:val="464646"/>
        </w:rPr>
        <w:t>bysanering</w:t>
      </w:r>
      <w:proofErr w:type="spellEnd"/>
      <w:r w:rsidRPr="00922EED">
        <w:rPr>
          <w:rFonts w:ascii="Verdana" w:hAnsi="Verdana"/>
          <w:color w:val="464646"/>
        </w:rPr>
        <w:t xml:space="preserve"> og opførelsen af kæmpestore kvarterer i de større byers udkant fyldt op med store boligblokke og med enfamiliehuse.</w:t>
      </w:r>
    </w:p>
    <w:p w14:paraId="762CB4D8"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Boligproblemet eksisterede dog fortsat, og de fleste var stadig uden økonomisk mulighed for at realisere en udbredt drøm om eget hus. Dette blev ændret, da der i 1960'ernes begyndelse gennem lovgivningen blev åbnet for bedre finansieringsformer. Hermed startede et boom i parcelhusbyggeriet.</w:t>
      </w:r>
    </w:p>
    <w:p w14:paraId="2C22CB11"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 xml:space="preserve">"Gør gode tider bedre", hed det socialdemokratiske valgslogan ved folketingsvalget i februar 1960. Sådan blev 1960'erne og de første tre år af 1970'erne også målt med den økonomiske udviklings alen. 1950'ernes tiltro til </w:t>
      </w:r>
      <w:r w:rsidRPr="00922EED">
        <w:rPr>
          <w:rFonts w:ascii="Verdana" w:hAnsi="Verdana"/>
          <w:color w:val="464646"/>
        </w:rPr>
        <w:lastRenderedPageBreak/>
        <w:t>"fremskridtet" holdt sig intakt. Men samfundets grundlæggende værdier blev med styrke betvivlet undervejs i denne udvikling.</w:t>
      </w:r>
    </w:p>
    <w:p w14:paraId="4DD503BF"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p>
    <w:p w14:paraId="7FFD958B" w14:textId="77777777" w:rsidR="00922EED" w:rsidRDefault="00922EED" w:rsidP="00922EED">
      <w:pPr>
        <w:pStyle w:val="NormalWeb"/>
        <w:shd w:val="clear" w:color="auto" w:fill="FFFFFF"/>
        <w:spacing w:before="0" w:beforeAutospacing="0" w:after="300" w:afterAutospacing="0" w:line="300" w:lineRule="atLeast"/>
        <w:rPr>
          <w:rFonts w:ascii="Verdana" w:hAnsi="Verdana"/>
          <w:color w:val="464646"/>
          <w:sz w:val="20"/>
          <w:szCs w:val="20"/>
        </w:rPr>
      </w:pPr>
    </w:p>
    <w:p w14:paraId="3E5EE98F" w14:textId="77777777" w:rsidR="00922EED" w:rsidRPr="00922EED" w:rsidRDefault="00922EED" w:rsidP="00922EED">
      <w:pPr>
        <w:shd w:val="clear" w:color="auto" w:fill="FFFFFF"/>
        <w:spacing w:after="285" w:line="495" w:lineRule="atLeast"/>
        <w:outlineLvl w:val="1"/>
        <w:rPr>
          <w:rFonts w:ascii="Trebuchet MS" w:eastAsia="Times New Roman" w:hAnsi="Trebuchet MS" w:cs="Times New Roman"/>
          <w:caps/>
          <w:color w:val="464646"/>
          <w:sz w:val="42"/>
          <w:szCs w:val="42"/>
          <w:lang w:eastAsia="da-DK"/>
        </w:rPr>
      </w:pPr>
      <w:r w:rsidRPr="00922EED">
        <w:rPr>
          <w:rFonts w:ascii="Trebuchet MS" w:eastAsia="Times New Roman" w:hAnsi="Trebuchet MS" w:cs="Times New Roman"/>
          <w:caps/>
          <w:color w:val="464646"/>
          <w:sz w:val="42"/>
          <w:szCs w:val="42"/>
          <w:lang w:eastAsia="da-DK"/>
        </w:rPr>
        <w:t>UNGDOMSOPRØR OG KULTURLIV I 1960'ERNE</w:t>
      </w:r>
    </w:p>
    <w:p w14:paraId="5A32FAB9"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Politik udviklede sig i 1960'erne og de tidlige 1970'ere til en størrelse, der ustandselig blev mere diffus og vanskelig at definere. Dette hang blandt andet sammen med, at flere forskellige befolkningsgrupper engagerede sig politisk og fandt på nye måder at drive politik. Uden for Folketinget og partierne udviklede der sig alternative former for politisk handling. Områder af samfundslivet som fx familiernes levevilkår, børneopdragelsen og seksualiteten blev i voksende omfang gjort til genstand for politisk aktivitet, hvilket naturligvis skal ses i sammenhæng med den politisering af alle samfundssfærer, den bestandigt mere omsluttende stat forårsagede. Selve politikbegrebet blev langt mere rummeligt.</w:t>
      </w:r>
    </w:p>
    <w:p w14:paraId="70C97AFF"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Udviklingen var påbegyndt allerede i 1960 med atommarcherne, men slog særligt igennem under det såkaldte ungdomsoprør - især i årene mellem 1967 og 1970. Det indflettede sig især mærkbart i den politiske venstrefløjs aktiviteter. At tale om for eksempel de sene tresseres Vietnam-bevægelse som udelukkende en politisk foreteelse, vil derfor ikke være korrekt. Den var i lige så høj grad et ungdomskulturelt fænomen.</w:t>
      </w:r>
    </w:p>
    <w:p w14:paraId="7C808923"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"Provoer" blev meget omtalte i midten af årtiet. Senere blev langhårede "hippier" det nye indslag især i det københavnske bybillede sammen med de såkaldte slumstormere, der fra 1968 besatte tomme, saneringsmodne ejendomme. En vigtig udløber af slumstormeraktiviteterne blev oprettelsen af Fristaden Christiania på den besatte Bådsmandsstræde Kaserne på Christianshavn i 1971.</w:t>
      </w:r>
    </w:p>
    <w:p w14:paraId="6A19F155"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Ungdomsoprørets deltagere eksperimenterede med familieformer, seksualitet, religion, påklædning og euforiserende stoffer. En slags kulmination på det eksperimenterende var foreningen Det ny Samfunds oprettelse af Frøstrup-lejren i Thy i sommeren 1970. Ikke lang tid efter skiftede ungdomsoprøret karakter, i den forstand at mere alvorlige politiske organisationer kom til at dominere det - ofte med erklæret marxistiske holdninger.</w:t>
      </w:r>
    </w:p>
    <w:p w14:paraId="004C4032"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Opbruddet i 1960’erne gav også modreaktioner. Et tidligt eksempel var rindalismen, som i midten af 1960’erne opponerede mod den nye kunstfond, </w:t>
      </w:r>
      <w:r w:rsidRPr="00922EED">
        <w:rPr>
          <w:rFonts w:ascii="Verdana" w:eastAsia="Times New Roman" w:hAnsi="Verdana" w:cs="Times New Roman"/>
          <w:color w:val="464646"/>
          <w:sz w:val="24"/>
          <w:szCs w:val="24"/>
          <w:lang w:eastAsia="da-DK"/>
        </w:rPr>
        <w:lastRenderedPageBreak/>
        <w:t>der var dannet med det formål at støtte kunstnere økonomisk. Det var for mange uforståeligt, at de via deres skat skulle støtte såkaldte kunstnere, hvis værker man ikke engang kunne se, hvad forestillede. Rindalismen var på samme tid en kulturel modbevægelse og et oprør mod skattetrykket og den altomfavnende velfærdsstat. Den var på flere måder en forløber for Fremskridtspartiet og den politiske omvæltning i 1973.</w:t>
      </w:r>
    </w:p>
    <w:p w14:paraId="08476A60"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Et andet eksempel på modreaktioner var det faktum, at den danske befolkning i 1968, da ungdomsoprøret var på sit højeste, for første gang siden 1953 gav magten til en borgerlig regering. Det var skæbnens ironi, at </w:t>
      </w:r>
      <w:proofErr w:type="spellStart"/>
      <w:r w:rsidRPr="00922EED">
        <w:rPr>
          <w:rFonts w:ascii="Verdana" w:eastAsia="Times New Roman" w:hAnsi="Verdana" w:cs="Times New Roman"/>
          <w:color w:val="464646"/>
          <w:sz w:val="24"/>
          <w:szCs w:val="24"/>
          <w:lang w:eastAsia="da-DK"/>
        </w:rPr>
        <w:t>VKR-regeringen</w:t>
      </w:r>
      <w:proofErr w:type="spellEnd"/>
      <w:r w:rsidRPr="00922EED">
        <w:rPr>
          <w:rFonts w:ascii="Verdana" w:eastAsia="Times New Roman" w:hAnsi="Verdana" w:cs="Times New Roman"/>
          <w:color w:val="464646"/>
          <w:sz w:val="24"/>
          <w:szCs w:val="24"/>
          <w:lang w:eastAsia="da-DK"/>
        </w:rPr>
        <w:t xml:space="preserve"> både kom til at stå for frigivelsen af billedpornografien, lempelse af abortlovgivningen og en eksplosiv vækst i de offentlige udgifter.</w:t>
      </w:r>
    </w:p>
    <w:p w14:paraId="36C89ECC"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Også udviklingen i informationskanalerne spillede en betydelig rolle i 1960'ernes opbrud. Som påvirkningsfaktor kom tv til at stå stærkest, idet det nu var blevet hvermandseje. Når Vietnam-krigen således mødte så stor en forargelse og så stærke protester, skyldtes det blandt andet, at den almindelige danske kernefamilie nu stiftede bekendtskab med krigen i tv. Vietnam-krigen var den første tv-krig i verdenshistorien. Og også protesterne foran den amerikanske ambassade blev på den måde nærværende for alle.</w:t>
      </w:r>
    </w:p>
    <w:p w14:paraId="4980C99F"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Kulturbruddet kan dog let overdrives. Hvad der skete med hensyn til sociale eksperimenter og politisk rabiate paroler kunne nok engagere til medhold eller modstand i den konkrete situation og fik dermed også betydning. Men de fleste følte, at de levede i et trygt og velstående samfund, hvis udvikling gik i retning af endnu mere tryghed og velstand. Det var et samfund, hvor de fleste nok ikke så med blide øjne på alt det nye.</w:t>
      </w:r>
    </w:p>
    <w:p w14:paraId="6CC3BB4A" w14:textId="77777777" w:rsidR="00922EED" w:rsidRDefault="00922EED" w:rsidP="00922EED">
      <w:pPr>
        <w:pStyle w:val="NormalWeb"/>
        <w:shd w:val="clear" w:color="auto" w:fill="FFFFFF"/>
        <w:spacing w:before="0" w:beforeAutospacing="0" w:after="300" w:afterAutospacing="0" w:line="300" w:lineRule="atLeast"/>
        <w:rPr>
          <w:rFonts w:ascii="Verdana" w:hAnsi="Verdana"/>
          <w:color w:val="464646"/>
          <w:sz w:val="20"/>
          <w:szCs w:val="20"/>
        </w:rPr>
      </w:pPr>
    </w:p>
    <w:p w14:paraId="2BF5009E" w14:textId="77777777" w:rsidR="00922EED" w:rsidRDefault="00922EED" w:rsidP="00922EED">
      <w:pPr>
        <w:pStyle w:val="NormalWeb"/>
        <w:shd w:val="clear" w:color="auto" w:fill="FFFFFF"/>
        <w:spacing w:before="0" w:beforeAutospacing="0" w:after="300" w:afterAutospacing="0" w:line="300" w:lineRule="atLeast"/>
        <w:rPr>
          <w:rFonts w:ascii="Verdana" w:hAnsi="Verdana"/>
          <w:color w:val="464646"/>
          <w:sz w:val="20"/>
          <w:szCs w:val="20"/>
        </w:rPr>
      </w:pPr>
    </w:p>
    <w:p w14:paraId="71257541" w14:textId="77777777" w:rsidR="00922EED" w:rsidRDefault="00922EED" w:rsidP="00922EED">
      <w:pPr>
        <w:pStyle w:val="Overskrift2"/>
        <w:shd w:val="clear" w:color="auto" w:fill="FFFFFF"/>
        <w:spacing w:before="0" w:beforeAutospacing="0" w:after="285" w:afterAutospacing="0" w:line="495" w:lineRule="atLeast"/>
        <w:rPr>
          <w:rFonts w:ascii="Trebuchet MS" w:hAnsi="Trebuchet MS"/>
          <w:b w:val="0"/>
          <w:bCs w:val="0"/>
          <w:caps/>
          <w:color w:val="464646"/>
          <w:sz w:val="42"/>
          <w:szCs w:val="42"/>
        </w:rPr>
      </w:pPr>
      <w:r>
        <w:rPr>
          <w:rFonts w:ascii="Trebuchet MS" w:hAnsi="Trebuchet MS"/>
          <w:b w:val="0"/>
          <w:bCs w:val="0"/>
          <w:caps/>
          <w:color w:val="464646"/>
          <w:sz w:val="42"/>
          <w:szCs w:val="42"/>
        </w:rPr>
        <w:t>DET NYE POLITISKE BILLEDE</w:t>
      </w:r>
    </w:p>
    <w:p w14:paraId="45101FDF"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 xml:space="preserve">Omvæltningerne i samfundet påvirkede også det klassiske politiske liv, hvor en række nye partier kom til. SF’s indvalg i Folketinget i 1960 var et tidligt eksempel på denne udvikling. I forhold til ungdomsoprøret viste SF sig dog for nogen at være for konventionelt. Partiet stilede i midten af 1960’erne mod regeringsdeltagelse med Socialdemokratiet, og det kom tæt på, da de to partier tilsammen fik flertal ved valget i 1966. Resultatet blev en SF-støttet socialdemokratisk mindretalsregering, som i offentligheden blev benævnt ”det røde kabinet”. Da det i virkeligheden ikke var mere rødt end som så, blev samarbejdet for meget for de yngre kræfter i SF, som i 1967 brød med partiet </w:t>
      </w:r>
      <w:r w:rsidRPr="00922EED">
        <w:rPr>
          <w:rFonts w:ascii="Verdana" w:hAnsi="Verdana"/>
          <w:color w:val="464646"/>
        </w:rPr>
        <w:lastRenderedPageBreak/>
        <w:t>og stiftede Venstresocialisterne, der i højere grad afspejlede ungdomsoprørets stemninger.</w:t>
      </w:r>
    </w:p>
    <w:p w14:paraId="16A37F29"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Socialdemokratiet dominerede stadig det politiske billede. Partiet havde regeringsmagten uafbrudt fra 1953–1968 og igen fra 1971–1973. Også her skete der dog et skifte. 1950’ernes socialdemokratiske statsministre Hans Hedtoft og H.C. Hansen havde deres rødder i fagbevægelsen og var politisk skolede i mellemkrigstiden. De blev i 1960’erne afløst af universitetsuddannede samfundsarkitekter som Viggo Kampmann og Jens Otto Krag, der trods deres visioner for velfærdsstaten næppe kunne kaldes medlemmer af arbejderklassen.</w:t>
      </w:r>
    </w:p>
    <w:p w14:paraId="195216DF"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Det højreorienterede parti De Uafhængige, der blev indvalgt i Folketinget i 1960, leverede et alternativ til de eksisterende borgerlige partier i den første halvdel af årtiet. Partiet gled dog ud igen i 1966, men var et forvarsel om Fremskridtspartiets succes i 1973. De tre nye partier i midten og til højre i dansk politik, som blev indvalgt i Folketinget i 1973, viste sig mere levedygtige. På hver deres måde kan de ses som en reaktion til ungdomsoprøret.</w:t>
      </w:r>
    </w:p>
    <w:p w14:paraId="7D442DB8" w14:textId="77777777" w:rsidR="00922EED" w:rsidRPr="00922EED" w:rsidRDefault="00922EED" w:rsidP="00922EED">
      <w:pPr>
        <w:pStyle w:val="NormalWeb"/>
        <w:shd w:val="clear" w:color="auto" w:fill="FFFFFF"/>
        <w:spacing w:before="0" w:beforeAutospacing="0" w:after="300" w:afterAutospacing="0" w:line="300" w:lineRule="atLeast"/>
        <w:rPr>
          <w:rFonts w:ascii="Verdana" w:hAnsi="Verdana"/>
          <w:color w:val="464646"/>
        </w:rPr>
      </w:pPr>
      <w:r w:rsidRPr="00922EED">
        <w:rPr>
          <w:rFonts w:ascii="Verdana" w:hAnsi="Verdana"/>
          <w:color w:val="464646"/>
        </w:rPr>
        <w:t xml:space="preserve">Kristeligt Folkeparti blev stiftet som en reaktion mod abortlovgivningen og billedpornografiens frigivelse og den sekularisering af samfundet, ungdomsoprøret også resulterede i. Erhard Jakobsens udbryderparti fra Socialdemokratiet, Centrum-Demokraterne, talte på vegne af den etablerede middelklasse i parcelhusene. Mogens Glistrups Fremskridtsparti kunne nok på overfladen takke Glistrups karismatiske personlighed for sin store succes ved valget i 1973, men succesen var også udtryk for bred utilfredshed med skattetrykket, ungdomsoprøret, ”papirnusseriet” og de gamle borgerlige partiers manglende evne til at opstille et virkeligt alternativ til Socialdemokratiet, hvilket </w:t>
      </w:r>
      <w:proofErr w:type="spellStart"/>
      <w:r w:rsidRPr="00922EED">
        <w:rPr>
          <w:rFonts w:ascii="Verdana" w:hAnsi="Verdana"/>
          <w:color w:val="464646"/>
        </w:rPr>
        <w:t>VKR-regeringen</w:t>
      </w:r>
      <w:proofErr w:type="spellEnd"/>
      <w:r w:rsidRPr="00922EED">
        <w:rPr>
          <w:rFonts w:ascii="Verdana" w:hAnsi="Verdana"/>
          <w:color w:val="464646"/>
        </w:rPr>
        <w:t xml:space="preserve"> 1968-71 for mange havde været et bevis på.</w:t>
      </w:r>
    </w:p>
    <w:p w14:paraId="3B9ADB56" w14:textId="77777777" w:rsidR="00D338A0" w:rsidRDefault="00D338A0">
      <w:pPr>
        <w:rPr>
          <w:rFonts w:ascii="Verdana" w:eastAsia="Times New Roman" w:hAnsi="Verdana" w:cs="Times New Roman"/>
          <w:color w:val="464646"/>
          <w:sz w:val="20"/>
          <w:szCs w:val="20"/>
          <w:lang w:eastAsia="da-DK"/>
        </w:rPr>
      </w:pPr>
    </w:p>
    <w:p w14:paraId="3EDD56DF" w14:textId="77777777" w:rsidR="00922EED" w:rsidRPr="00922EED" w:rsidRDefault="00922EED" w:rsidP="00922EED">
      <w:pPr>
        <w:shd w:val="clear" w:color="auto" w:fill="FFFFFF"/>
        <w:spacing w:after="285" w:line="495" w:lineRule="atLeast"/>
        <w:outlineLvl w:val="1"/>
        <w:rPr>
          <w:rFonts w:ascii="Trebuchet MS" w:eastAsia="Times New Roman" w:hAnsi="Trebuchet MS" w:cs="Times New Roman"/>
          <w:caps/>
          <w:color w:val="464646"/>
          <w:sz w:val="42"/>
          <w:szCs w:val="42"/>
          <w:lang w:eastAsia="da-DK"/>
        </w:rPr>
      </w:pPr>
      <w:r w:rsidRPr="00922EED">
        <w:rPr>
          <w:rFonts w:ascii="Trebuchet MS" w:eastAsia="Times New Roman" w:hAnsi="Trebuchet MS" w:cs="Times New Roman"/>
          <w:caps/>
          <w:color w:val="464646"/>
          <w:sz w:val="42"/>
          <w:szCs w:val="42"/>
          <w:lang w:eastAsia="da-DK"/>
        </w:rPr>
        <w:t>FAMILIELIV OG KVINDEFRIGØRELSE</w:t>
      </w:r>
    </w:p>
    <w:p w14:paraId="4C5A80AD"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En del af grundlaget for omvæltningerne i 1960'erne var de nye livsbetingelser, som højkonjunkturen bragte med sig. Strømmen af mennesker fra land til by bevirkede, at store menneskemasser måtte omdefinere deres livsgrundlag. Også arbejdets indhold ændrede sig for mange - først og fremmest som følge af velfærdsstatens service-udbygning. Hertil kom, at kvinderne i stigende grad kom ud på arbejdsmarkedet.</w:t>
      </w:r>
    </w:p>
    <w:p w14:paraId="47075A9E"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lastRenderedPageBreak/>
        <w:t>Kvindernes andel af arbejdsstyrken udgjorde både i 1950 og i 1960 omkring 29%, i 1965 31,5%, i 1970 34%, i 1981 42,5%. Allerede i 1970'erne var unge kvinders uddannelses- og erhvervsfrekvens imidlertid på lige fod med unge mænds. Stigningen herefter i kvinders erhvervsfrekvens skyldes altså, at "husmodergenerationerne" efterhånden gled ind i pensionsalderen og dermed ud af erhvervsstatistikken, mens de ny kvindeårgange som noget selvfølgeligt blev tilknyttet arbejdsmarkedet i samme omfang som mændene.</w:t>
      </w:r>
    </w:p>
    <w:p w14:paraId="002C3D36"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Kvinders erhvervsdeltagelse, som </w:t>
      </w:r>
      <w:proofErr w:type="spellStart"/>
      <w:r w:rsidRPr="00922EED">
        <w:rPr>
          <w:rFonts w:ascii="Verdana" w:eastAsia="Times New Roman" w:hAnsi="Verdana" w:cs="Times New Roman"/>
          <w:color w:val="464646"/>
          <w:sz w:val="24"/>
          <w:szCs w:val="24"/>
          <w:lang w:eastAsia="da-DK"/>
        </w:rPr>
        <w:t>accellererede</w:t>
      </w:r>
      <w:proofErr w:type="spellEnd"/>
      <w:r w:rsidRPr="00922EED">
        <w:rPr>
          <w:rFonts w:ascii="Verdana" w:eastAsia="Times New Roman" w:hAnsi="Verdana" w:cs="Times New Roman"/>
          <w:color w:val="464646"/>
          <w:sz w:val="24"/>
          <w:szCs w:val="24"/>
          <w:lang w:eastAsia="da-DK"/>
        </w:rPr>
        <w:t xml:space="preserve"> omkring 1965, er ofte sat i forbindelse med parcelhusets opkomst. For en gennemsnitlig funktionær- eller arbejderfamilie rakte én indkomst simpelthen ikke til den højere husleje. Men det stærkt forøgede fokus på materielle goder, som kendetegnede 1960'erne, spillede også stærkt ind. Det samme gjorde 1960'ernes bevidsthedsmæssige opbrud. Den traditionelle mandlige forsørgerrolle blev i 1970'erne ikke længere forbundet med den samme værdighed. Familier, hvor begge forældre arbejdede, blev gradvist mere norm end undtagelse.</w:t>
      </w:r>
    </w:p>
    <w:p w14:paraId="3C3503FA"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Et var dog adgang til arbejdsmarkedet, noget andet egentlig ligestilling mellem kønnene. Det politiske system var endnu i 1960'erne domineret af mænd, også i de "alternative" miljøer. Dette ændrede sig omkring 1970, hvor en egentlig kvindebevægelse, der krævede reel ligestilling og opgør med ”mandssamfundet”, så dagens lys. Et tidligt eksempel var en gruppe kvinder, som i foråret 1970 gennemførte en række muntre, men provokerende happenings. Blandt andet nægtede de at betale fuld billetpris i en bus med den begrundelse, at kvinder ikke fik samme løn som mænd, og da de heller ikke stak af, måtte politiet hente dem ud. Aktionerne gav stor medieomtale og førte til mange diskussioner over hele landet om det rimelige i forskelsbehandlingen af mænd og kvinder.</w:t>
      </w:r>
    </w:p>
    <w:p w14:paraId="58E672F9"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Snart fulgte kvindegruppen, der kaldte sig for Rødstrømperne, aktionen op med flere lige så spektakulære, der også satte fokus på kvinders funktioner som seksualobjekter. Da det var vanskeligt at argumentere for forskelsbehandling med demokratiets lighedsideologi intakt, vandt kvindebevægelsen klart de moralske slag. I 1970'erne udviklede dele af kvindebevægelsen sig til isolerede, decideret mandefjendske enklaver, men den brede strøm ledte i retning af formaliseret og reel ligestilling.</w:t>
      </w:r>
    </w:p>
    <w:p w14:paraId="1BD5AAED"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Kvindebevægelsens synspunkter om ligestilling sejrede både i lovgivningen og i den offentlige mening. Derfor mistede kvindebevægelsen omkring 1980 pusten og sygnede hen. Trods sejren viste kønnenes reelle ligestilling med hensyn til løn, erhverv og placering i arbejdsmarkedets hierarkier sig vanskelig at gennemføre i praksis. Kvinder var fortsat stærkt </w:t>
      </w:r>
      <w:proofErr w:type="gramStart"/>
      <w:r w:rsidRPr="00922EED">
        <w:rPr>
          <w:rFonts w:ascii="Verdana" w:eastAsia="Times New Roman" w:hAnsi="Verdana" w:cs="Times New Roman"/>
          <w:color w:val="464646"/>
          <w:sz w:val="24"/>
          <w:szCs w:val="24"/>
          <w:lang w:eastAsia="da-DK"/>
        </w:rPr>
        <w:t>overrepræsenteret</w:t>
      </w:r>
      <w:proofErr w:type="gramEnd"/>
      <w:r w:rsidRPr="00922EED">
        <w:rPr>
          <w:rFonts w:ascii="Verdana" w:eastAsia="Times New Roman" w:hAnsi="Verdana" w:cs="Times New Roman"/>
          <w:color w:val="464646"/>
          <w:sz w:val="24"/>
          <w:szCs w:val="24"/>
          <w:lang w:eastAsia="da-DK"/>
        </w:rPr>
        <w:t xml:space="preserve"> i fag med relation til traditionelle kvindedyder: Omsorg, pleje og opdragelse. De samme "kvindefag" var typisk lavere lønnet end de traditionelle "mandefag". </w:t>
      </w:r>
      <w:r w:rsidRPr="00922EED">
        <w:rPr>
          <w:rFonts w:ascii="Verdana" w:eastAsia="Times New Roman" w:hAnsi="Verdana" w:cs="Times New Roman"/>
          <w:color w:val="464646"/>
          <w:sz w:val="24"/>
          <w:szCs w:val="24"/>
          <w:lang w:eastAsia="da-DK"/>
        </w:rPr>
        <w:lastRenderedPageBreak/>
        <w:t xml:space="preserve">Ledelse, der er karakteriseret ved højere status og højere løn, </w:t>
      </w:r>
      <w:proofErr w:type="gramStart"/>
      <w:r w:rsidRPr="00922EED">
        <w:rPr>
          <w:rFonts w:ascii="Verdana" w:eastAsia="Times New Roman" w:hAnsi="Verdana" w:cs="Times New Roman"/>
          <w:color w:val="464646"/>
          <w:sz w:val="24"/>
          <w:szCs w:val="24"/>
          <w:lang w:eastAsia="da-DK"/>
        </w:rPr>
        <w:t>vedblev</w:t>
      </w:r>
      <w:proofErr w:type="gramEnd"/>
      <w:r w:rsidRPr="00922EED">
        <w:rPr>
          <w:rFonts w:ascii="Verdana" w:eastAsia="Times New Roman" w:hAnsi="Verdana" w:cs="Times New Roman"/>
          <w:color w:val="464646"/>
          <w:sz w:val="24"/>
          <w:szCs w:val="24"/>
          <w:lang w:eastAsia="da-DK"/>
        </w:rPr>
        <w:t xml:space="preserve"> at være et arbejde for mænd. I et langtidsperspektiv var ændringen i forholdet mellem kønnene dog meget voldsom.</w:t>
      </w:r>
    </w:p>
    <w:p w14:paraId="6F0B1239"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16C70387"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6BDF1E64" w14:textId="77777777" w:rsidR="00922EED" w:rsidRPr="00922EED" w:rsidRDefault="00922EED" w:rsidP="00922EED">
      <w:pPr>
        <w:shd w:val="clear" w:color="auto" w:fill="FFFFFF"/>
        <w:spacing w:line="300" w:lineRule="atLeast"/>
        <w:rPr>
          <w:rFonts w:ascii="Verdana" w:eastAsia="Times New Roman" w:hAnsi="Verdana" w:cs="Times New Roman"/>
          <w:color w:val="464646"/>
          <w:sz w:val="20"/>
          <w:szCs w:val="20"/>
          <w:lang w:eastAsia="da-DK"/>
        </w:rPr>
      </w:pPr>
      <w:r w:rsidRPr="00922EED">
        <w:rPr>
          <w:rFonts w:ascii="Trebuchet MS" w:eastAsia="Times New Roman" w:hAnsi="Trebuchet MS" w:cs="Times New Roman"/>
          <w:b/>
          <w:bCs/>
          <w:caps/>
          <w:color w:val="6E6E6E"/>
          <w:sz w:val="21"/>
          <w:szCs w:val="21"/>
          <w:lang w:eastAsia="da-DK"/>
        </w:rPr>
        <w:t>EF OG KRISETIDER, 1973-1989</w:t>
      </w:r>
    </w:p>
    <w:p w14:paraId="699DE60D" w14:textId="77777777" w:rsidR="00922EED" w:rsidRPr="00922EED" w:rsidRDefault="00922EED" w:rsidP="00922EED">
      <w:pPr>
        <w:shd w:val="clear" w:color="auto" w:fill="FFFFFF"/>
        <w:spacing w:after="285" w:line="495" w:lineRule="atLeast"/>
        <w:outlineLvl w:val="1"/>
        <w:rPr>
          <w:rFonts w:ascii="Trebuchet MS" w:eastAsia="Times New Roman" w:hAnsi="Trebuchet MS" w:cs="Times New Roman"/>
          <w:caps/>
          <w:color w:val="464646"/>
          <w:sz w:val="42"/>
          <w:szCs w:val="42"/>
          <w:lang w:eastAsia="da-DK"/>
        </w:rPr>
      </w:pPr>
      <w:r w:rsidRPr="00922EED">
        <w:rPr>
          <w:rFonts w:ascii="Trebuchet MS" w:eastAsia="Times New Roman" w:hAnsi="Trebuchet MS" w:cs="Times New Roman"/>
          <w:caps/>
          <w:color w:val="464646"/>
          <w:sz w:val="42"/>
          <w:szCs w:val="42"/>
          <w:lang w:eastAsia="da-DK"/>
        </w:rPr>
        <w:t>BEFOLKNINGEN</w:t>
      </w:r>
    </w:p>
    <w:p w14:paraId="698F6726"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Befolkningstallet i Danmark passerede 5 mio. indbyggere i 1972, men befolkningstilvæksten var aftagende. Der blev født forholdsvis færre børn. Kvindernes øgede erhvervsfrekvens, p-pillen (1966) og den frie abort (1973) er nogle af forklaringerne. Fødselshyppigheden nåede et lavpunkt i 1983 for så at stige igen, men i årene 1981-84 faldt befolkningstallet for første gang i 150 år. Indvandringen oversteg udvandringen i de fleste år i perioden 1973-89.</w:t>
      </w:r>
    </w:p>
    <w:p w14:paraId="3D750242"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De faldende fødselsårgange og en længere gennemsnitslevetid ændrede befolkningens alderssammensætning. Der blev færre børn og flere ældre, mens gruppen i den erhvervsaktive alder (16-64 år) var nogenlunde uforandret i størrelse. Det var et helt nyt demografisk mønster, hvor væksten i middellevetid for kvindernes vedkommende i periodens slutning forbigående blev afløst af et svagt fald. Det var de livsstilsbetingede sygdomme, som her gjorde sig gældende.</w:t>
      </w:r>
    </w:p>
    <w:p w14:paraId="4CE47591"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Der skete en forskydning af befolkningen fra øst til vest. Hovedstadsområdet stagnerede, hvorimod der var vækst i Jylland. Fra 1971 til 1991 steg Jyllands andel af den danske befolkning fra 44,4 til 46,3%. Det svarede til en stigning i befolkningstætheden fra 74 til 80 pr. km</w:t>
      </w:r>
      <w:r w:rsidRPr="00922EED">
        <w:rPr>
          <w:rFonts w:ascii="Verdana" w:eastAsia="Times New Roman" w:hAnsi="Verdana" w:cs="Times New Roman"/>
          <w:color w:val="464646"/>
          <w:sz w:val="24"/>
          <w:szCs w:val="24"/>
          <w:vertAlign w:val="superscript"/>
          <w:lang w:eastAsia="da-DK"/>
        </w:rPr>
        <w:t>2</w:t>
      </w:r>
      <w:r w:rsidRPr="00922EED">
        <w:rPr>
          <w:rFonts w:ascii="Verdana" w:eastAsia="Times New Roman" w:hAnsi="Verdana" w:cs="Times New Roman"/>
          <w:color w:val="464646"/>
          <w:sz w:val="24"/>
          <w:szCs w:val="24"/>
          <w:lang w:eastAsia="da-DK"/>
        </w:rPr>
        <w:t>, hvilket fortsat lå langt under de 207 pr. km</w:t>
      </w:r>
      <w:r w:rsidRPr="00922EED">
        <w:rPr>
          <w:rFonts w:ascii="Verdana" w:eastAsia="Times New Roman" w:hAnsi="Verdana" w:cs="Times New Roman"/>
          <w:color w:val="464646"/>
          <w:sz w:val="24"/>
          <w:szCs w:val="24"/>
          <w:vertAlign w:val="superscript"/>
          <w:lang w:eastAsia="da-DK"/>
        </w:rPr>
        <w:t>2</w:t>
      </w:r>
      <w:r w:rsidRPr="00922EED">
        <w:rPr>
          <w:rFonts w:ascii="Verdana" w:eastAsia="Times New Roman" w:hAnsi="Verdana" w:cs="Times New Roman"/>
          <w:color w:val="464646"/>
          <w:sz w:val="24"/>
          <w:szCs w:val="24"/>
          <w:lang w:eastAsia="da-DK"/>
        </w:rPr>
        <w:t>på øerne. Industrien flyttede mod vest, og Århusområdet markerede sig som vækstcenter.</w:t>
      </w:r>
    </w:p>
    <w:p w14:paraId="737F2279"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Beskæftigelsesprofilen ændrede sig hurtigt. Afvandringen fra landbruget fortsatte, og antallet af selvstændige næringsdrivende faldt. Lønmodtagergruppen voksede og oplevede en klar forskydning fra arbejdere til funktionærer. Samtidig voksede antallet af offentligt ansatte hurtigere end antallet af privat ansatte. Det var særlig tydeligt i 1970'erne, men væksten i den offentlige beskæftigelse fortsatte i 1980'erne, selvom firkløverregeringen forsøgte at bremse den. Trods vækst i beskæftigelsen kunne antallet af jobs ikke holde trit med tilgangen til arbejdsmarkedet, så arbejdsløsheden steg fra et niveau omkring 2 til 5% efter den første oliekrise og til 10% efter den anden. 1940'ernes store årgange og kvindernes øgede erhvervsfrekvens </w:t>
      </w:r>
      <w:r w:rsidRPr="00922EED">
        <w:rPr>
          <w:rFonts w:ascii="Verdana" w:eastAsia="Times New Roman" w:hAnsi="Verdana" w:cs="Times New Roman"/>
          <w:color w:val="464646"/>
          <w:sz w:val="24"/>
          <w:szCs w:val="24"/>
          <w:lang w:eastAsia="da-DK"/>
        </w:rPr>
        <w:lastRenderedPageBreak/>
        <w:t>sammen med den fortsatte afvandring fra landbruget betød en særlig stor tilgang af arbejdskraft til byerhvervene.</w:t>
      </w:r>
    </w:p>
    <w:p w14:paraId="6F5A8440"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Nettoindvandringen begyndte at ændre befolkningens kulturprofil. Gæstearbejdere fra Tyrkiet og Jugoslavien var blevet i landet, efter at tilgangen var blevet stoppet i 1970, og nu kom der mindre grupper af flygtninge fra Chile og Mellemøsten. Stor opmærksomhed vakte en gruppe børn fra Vietnam, som i 1975 kom til landet med deres danske plejefar, Henning Becker. Det internationale retsgrundlag for flygtningene var FN's flygtningekonvention, og den blev i Danmark fulgt op af den danske udlændingelov i 1983, som gav flygtninge og udlændinge med længerevarende ophold i Danmark et retskrav på ophold her i landet og ret til familiesammenføring. Gennem en ændring i 1985 udvidedes adgangen til at få opholdstilladelse i Danmark, idet den nu også kunne tildeles, hvis væsentlige humanitære hensyn talte for det. Antallet af fremmedfødte voksede derfor, og der begyndte at opstå ghettolignende koncentrationer af indvandrere i de større byer: Brøndby Strand, Gellerup i Århus, Vollsmose i Odense. Tilvandringen nåede i sommeren 1986 op på større tal end forventet, og det fremkaldte en stramning af lovgivningen samme efterår, idet asylsøgere, der kom fra et land, hvor der ikke var trussel mod deres sikkerhed, kunne nægtes indrejse i Danmark.</w:t>
      </w:r>
    </w:p>
    <w:p w14:paraId="7E9074AC"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Forholdene i Sønderjylland og Sydslesvig var præget af, at det gamle nationale modsætningsforhold havde mistet sin skarphed. Der var fortsat mindretal på begge sider af grænsen.</w:t>
      </w:r>
    </w:p>
    <w:p w14:paraId="06D8DA35"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Boligmarkedet blev polariseret i ejerboliger og almennyttigt byggeri. De privatejede etageejendomme blev i stigende grad udstykket til ejerlejligheder. I et forsøg på at sikre lejligheder til en overkommelig pris åbnedes der fra 1980 mulighed for at erhverve lejligheder på andelsbasis. Parcelhuskvartererne, der havde bredt sig i tiden op til 1973, voksede fortsat, men ikke i det samme tempo som før. Byggeriet er blandt de mest konjunkturfølsomme erhverv, og de generelt dårligere økonomiske konjunkturer efter 1973 reducerede aktiviteten. Ikke mindst krisen omkring 1980 ramte erhvervet hårdt. Der blev fortsat saneret boliger i den ældre boligmasse, og det skabte basis for et nyt fænomen, slumstormerne. Unge boligløse besatte ejendomme, der var blevet rømmet af beboerne, men endnu ikke revet ned. Aktiviteten blev i 1980'erne videreført af BZ-bevægelsen i en mere radikal udgave, og det førte til gentagne konfrontationer med ordensmagten.</w:t>
      </w:r>
    </w:p>
    <w:p w14:paraId="4837D023"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2038A0FD"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3784CE52"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7CEBF368" w14:textId="77777777" w:rsidR="00922EED" w:rsidRPr="00922EED" w:rsidRDefault="00922EED" w:rsidP="00922EED">
      <w:pPr>
        <w:shd w:val="clear" w:color="auto" w:fill="FFFFFF"/>
        <w:spacing w:line="300" w:lineRule="atLeast"/>
        <w:rPr>
          <w:rFonts w:ascii="Verdana" w:eastAsia="Times New Roman" w:hAnsi="Verdana" w:cs="Times New Roman"/>
          <w:color w:val="464646"/>
          <w:sz w:val="20"/>
          <w:szCs w:val="20"/>
          <w:lang w:eastAsia="da-DK"/>
        </w:rPr>
      </w:pPr>
      <w:r w:rsidRPr="00922EED">
        <w:rPr>
          <w:rFonts w:ascii="Trebuchet MS" w:eastAsia="Times New Roman" w:hAnsi="Trebuchet MS" w:cs="Times New Roman"/>
          <w:b/>
          <w:bCs/>
          <w:caps/>
          <w:color w:val="6E6E6E"/>
          <w:sz w:val="21"/>
          <w:szCs w:val="21"/>
          <w:lang w:eastAsia="da-DK"/>
        </w:rPr>
        <w:t>EFTER DEN KOLDE KRIG, 1989-2008</w:t>
      </w:r>
    </w:p>
    <w:p w14:paraId="02E5D1E6" w14:textId="77777777" w:rsidR="00922EED" w:rsidRPr="00922EED" w:rsidRDefault="00922EED" w:rsidP="00922EED">
      <w:pPr>
        <w:shd w:val="clear" w:color="auto" w:fill="FFFFFF"/>
        <w:spacing w:after="285" w:line="495" w:lineRule="atLeast"/>
        <w:outlineLvl w:val="1"/>
        <w:rPr>
          <w:rFonts w:ascii="Trebuchet MS" w:eastAsia="Times New Roman" w:hAnsi="Trebuchet MS" w:cs="Times New Roman"/>
          <w:caps/>
          <w:color w:val="464646"/>
          <w:sz w:val="42"/>
          <w:szCs w:val="42"/>
          <w:lang w:eastAsia="da-DK"/>
        </w:rPr>
      </w:pPr>
      <w:r w:rsidRPr="00922EED">
        <w:rPr>
          <w:rFonts w:ascii="Trebuchet MS" w:eastAsia="Times New Roman" w:hAnsi="Trebuchet MS" w:cs="Times New Roman"/>
          <w:caps/>
          <w:color w:val="464646"/>
          <w:sz w:val="42"/>
          <w:szCs w:val="42"/>
          <w:lang w:eastAsia="da-DK"/>
        </w:rPr>
        <w:t>ÆNDREDE LEVEMÅDER</w:t>
      </w:r>
    </w:p>
    <w:p w14:paraId="45B2146F"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Mellem 1985 og 2000 voksede befolkningstallet i Danmark på grund af indvandringen med 200.000 mennesker til omkring 5,3 millioner. Hver kvinde fødte i gennemsnit 1,7 barn, hvorfor den gennemsnitlige alder for hele befolkningen steg fra 36,7 år i 1980 til 39,3 år i 2000. Der blev færre børn og flere voksne. Andelen af personer over 65 år ud af den samlede befolkning lå både i 1985 og 2000 på omkring 15%, men der blev flere gamle over 80 år.</w:t>
      </w:r>
    </w:p>
    <w:p w14:paraId="5BC6C2C9"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Skilsmisser og nye ægteskaber var ligesom singleliv længerevarende tendenser, som blev forstærket igennem 1990'erne. I 1995 levede omkring 2,5 millioner voksne i parforhold og omkring 1,4 millioner alene, dvs. uden partner. Familielivet var ofte præget af komplicerede relationer med mange voksnes krav på børnene og med mange voksne i den nære familie, som børnene skulle forholde sig til. Undersøgelser af singlekultur viste, at de adspurgte satsede stærkt på sig selv i den forstand, at de vægtede deres studier, karrierer, fritidsinteresser og selskabelige samvær med venner højere end de forpligtelser, et tæt dagligt samliv indebar. Et ord som selvrealisering blev ofte brugt som samlende begreb for fænomenet. For de ældre gjaldt det, at mange havde et stort behov for pleje, men andre var ved godt helbred, købedygtige og selvbevidste.</w:t>
      </w:r>
    </w:p>
    <w:p w14:paraId="732B8F67"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Ungdomslivet med dets associationer til en aktiv, uforpligtende og selvrealiserende tilværelse, men også en ufærdig og søgende identitet, blev en kategori, som man ofte helt op i 50-årsalderen kunne identificere sig med. Der blev i ringere grad end tidligere </w:t>
      </w:r>
      <w:proofErr w:type="spellStart"/>
      <w:r w:rsidRPr="00922EED">
        <w:rPr>
          <w:rFonts w:ascii="Verdana" w:eastAsia="Times New Roman" w:hAnsi="Verdana" w:cs="Times New Roman"/>
          <w:color w:val="464646"/>
          <w:sz w:val="24"/>
          <w:szCs w:val="24"/>
          <w:lang w:eastAsia="da-DK"/>
        </w:rPr>
        <w:t>alderfastlagte</w:t>
      </w:r>
      <w:proofErr w:type="spellEnd"/>
      <w:r w:rsidRPr="00922EED">
        <w:rPr>
          <w:rFonts w:ascii="Verdana" w:eastAsia="Times New Roman" w:hAnsi="Verdana" w:cs="Times New Roman"/>
          <w:color w:val="464646"/>
          <w:sz w:val="24"/>
          <w:szCs w:val="24"/>
          <w:lang w:eastAsia="da-DK"/>
        </w:rPr>
        <w:t xml:space="preserve"> livsepoker, hvilket svarede godt overens med nye samfundskrav om "livslang læring" og "omstillingsparathed".</w:t>
      </w:r>
    </w:p>
    <w:p w14:paraId="69296252"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Kvinders placering på arbejdsmarkedet var blevet uanfægtelig, og det samme var idealet om lige ansvar og opgavefordeling mellem mænd og kvinder i forhold til børneopdragelse og husligt arbejde. Særlige mande- og kvindefag eksisterede fortsat i den forstand, at de blev ved med at være stærkt kønsopdelte, men de blev snarere opfattet som levn fra en traditionel tid end som udtryk for en naturlig eller ønskværdig orden. Det var heller ikke længere socialt acceptabelt at udtrykke forventninger til voksnes eller børns evner og muligheder, som blev tilknyttet deres køn. Bestræbelserne for at ligestille kønnene var i mange henseender fuldbyrdet. Der var endda flere unge kvinder end mænd, som fik en uddannelse. Men med hensyn til løn, erhverv og placering i arbejdsmarkedets hierarkier var der fortsat store forskelle i </w:t>
      </w:r>
      <w:r w:rsidRPr="00922EED">
        <w:rPr>
          <w:rFonts w:ascii="Verdana" w:eastAsia="Times New Roman" w:hAnsi="Verdana" w:cs="Times New Roman"/>
          <w:color w:val="464646"/>
          <w:sz w:val="24"/>
          <w:szCs w:val="24"/>
          <w:lang w:eastAsia="da-DK"/>
        </w:rPr>
        <w:lastRenderedPageBreak/>
        <w:t>mændenes favør. Efter nogle års stilstand blev der i slutningen af 1990'ernes igen taget hul på debat om kønnenes forhold.</w:t>
      </w:r>
    </w:p>
    <w:p w14:paraId="73ADC006"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Den ugentlige normalarbejdstid for lønmodtagere var i 1989 37½ time, hvilket var historisk lavt. Til gengæld var antallet af mennesker med bijob og omfanget af sort arbejde i stigning, så befolkningens gennemsnitlige arbejdstid steg snarere end faldt. Fritiden blev i stigende grad udfyldt med skemalagte aktiviteter, og den gennemsnitlige transporttid mellem hjem, arbejde, indkøbssteder og fritidstilbuddene steg stærkt. Danskerne opholdt sig dagligt i væsentlig kortere tid i deres boliger, end de havde gjort tidligere. Boligerne blev til gengæld både større og mere luksuriøst indrettet.</w:t>
      </w:r>
    </w:p>
    <w:p w14:paraId="6BAC9705"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572A89EF" w14:textId="77777777" w:rsidR="00922EED" w:rsidRDefault="00922EED" w:rsidP="00922EED">
      <w:pPr>
        <w:shd w:val="clear" w:color="auto" w:fill="FFFFFF"/>
        <w:spacing w:after="300" w:line="300" w:lineRule="atLeast"/>
        <w:rPr>
          <w:rFonts w:ascii="Verdana" w:eastAsia="Times New Roman" w:hAnsi="Verdana" w:cs="Times New Roman"/>
          <w:color w:val="464646"/>
          <w:sz w:val="20"/>
          <w:szCs w:val="20"/>
          <w:lang w:eastAsia="da-DK"/>
        </w:rPr>
      </w:pPr>
    </w:p>
    <w:p w14:paraId="15FA7E0D" w14:textId="77777777" w:rsidR="00922EED" w:rsidRPr="00922EED" w:rsidRDefault="00922EED" w:rsidP="00922EED">
      <w:pPr>
        <w:shd w:val="clear" w:color="auto" w:fill="FFFFFF"/>
        <w:spacing w:line="300" w:lineRule="atLeast"/>
        <w:rPr>
          <w:rFonts w:ascii="Verdana" w:eastAsia="Times New Roman" w:hAnsi="Verdana" w:cs="Times New Roman"/>
          <w:color w:val="464646"/>
          <w:sz w:val="20"/>
          <w:szCs w:val="20"/>
          <w:lang w:eastAsia="da-DK"/>
        </w:rPr>
      </w:pPr>
      <w:r w:rsidRPr="00922EED">
        <w:rPr>
          <w:rFonts w:ascii="Trebuchet MS" w:eastAsia="Times New Roman" w:hAnsi="Trebuchet MS" w:cs="Times New Roman"/>
          <w:b/>
          <w:bCs/>
          <w:caps/>
          <w:color w:val="6E6E6E"/>
          <w:sz w:val="21"/>
          <w:szCs w:val="21"/>
          <w:lang w:eastAsia="da-DK"/>
        </w:rPr>
        <w:t>EFTER DEN KOLDE KRIG, 1989-2008</w:t>
      </w:r>
    </w:p>
    <w:p w14:paraId="45C28599" w14:textId="77777777" w:rsidR="00922EED" w:rsidRPr="00922EED" w:rsidRDefault="00922EED" w:rsidP="00922EED">
      <w:pPr>
        <w:shd w:val="clear" w:color="auto" w:fill="FFFFFF"/>
        <w:spacing w:after="285" w:line="495" w:lineRule="atLeast"/>
        <w:outlineLvl w:val="1"/>
        <w:rPr>
          <w:rFonts w:ascii="Trebuchet MS" w:eastAsia="Times New Roman" w:hAnsi="Trebuchet MS" w:cs="Times New Roman"/>
          <w:caps/>
          <w:color w:val="464646"/>
          <w:sz w:val="42"/>
          <w:szCs w:val="42"/>
          <w:lang w:eastAsia="da-DK"/>
        </w:rPr>
      </w:pPr>
      <w:r w:rsidRPr="00922EED">
        <w:rPr>
          <w:rFonts w:ascii="Trebuchet MS" w:eastAsia="Times New Roman" w:hAnsi="Trebuchet MS" w:cs="Times New Roman"/>
          <w:caps/>
          <w:color w:val="464646"/>
          <w:sz w:val="42"/>
          <w:szCs w:val="42"/>
          <w:lang w:eastAsia="da-DK"/>
        </w:rPr>
        <w:t>VELFÆRDSSTATEN</w:t>
      </w:r>
    </w:p>
    <w:p w14:paraId="528C265B"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Under Schlüter-regeringerne havde stigningen i de velfærdsstatslige ydelser været mindre end tidligere. På sundheds- og uddannelsesområdet var der mellem 1981 og 1992 tale om et udgiftsfald i forhold til BFI (bruttofaktorindkomsten) fra henholdsvis 7 % til 6,2 % og 9,9 % til 7,9 %. Selvom BFI var vokset, havde det givet en del problemer med at få opgaverne løst på et niveau, befolkningen fandt tilfredsstillende. Det gjaldt især for sundhedsområdets vedkommende, hvor Danmark faldt bagud i internationale undersøgelser. Fra 1993 til 2000 blev der tilført sundhedsvæsenet ekstra midler svarende til en årlig realvækst på 2,6 %, </w:t>
      </w:r>
      <w:proofErr w:type="gramStart"/>
      <w:r w:rsidRPr="00922EED">
        <w:rPr>
          <w:rFonts w:ascii="Verdana" w:eastAsia="Times New Roman" w:hAnsi="Verdana" w:cs="Times New Roman"/>
          <w:color w:val="464646"/>
          <w:sz w:val="24"/>
          <w:szCs w:val="24"/>
          <w:lang w:eastAsia="da-DK"/>
        </w:rPr>
        <w:t>således at</w:t>
      </w:r>
      <w:proofErr w:type="gramEnd"/>
      <w:r w:rsidRPr="00922EED">
        <w:rPr>
          <w:rFonts w:ascii="Verdana" w:eastAsia="Times New Roman" w:hAnsi="Verdana" w:cs="Times New Roman"/>
          <w:color w:val="464646"/>
          <w:sz w:val="24"/>
          <w:szCs w:val="24"/>
          <w:lang w:eastAsia="da-DK"/>
        </w:rPr>
        <w:t xml:space="preserve"> sundhedsudgifternes andel af de samlede offentlige udgifter nærmede sig 10 % eller mellem 40 og 50 milliarder kroner. I hele perioden 1989-2005 blev nogle få store sygehuse via politiske initiativer gjort større på bekostning af de mindre lokale sygehuse, som fik frataget mange funktioner, samtidig med at deres antal blev reduceret. Selvom der fortsat lød megen kritik af sundhedsvæsenet, skete der en målbar forbedring målt på fx middellevetid.</w:t>
      </w:r>
    </w:p>
    <w:p w14:paraId="65A860DA"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Det danske velfærdssystem stod sig godt i internationale sammenligninger. En større OECD-undersøgelse fra 2003 godtgjorde, at der i Danmark var mindre ulighed og færre fattige børnefamilier end i næsten alle andre lande, og at prisen herfor var relativt lav. Befolkningen var også overvejende meget tilfreds med den skattebaserede, offentligt drevne velfærdsstat og afviste for de flestes vedkommende snak om en større privatisering af ydelser inden for sundheds-, social- og uddannelsessektoren. Udlicitering af afgrænsede opgaver vandt dog noget indpas og blev mødt med en vis forståelse.</w:t>
      </w:r>
    </w:p>
    <w:p w14:paraId="07986556"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lastRenderedPageBreak/>
        <w:t>Der var i politiske kredse en stærk bekymring for, at udviklingen hen imod flere ældre og færre erhvervsaktive ad åre ville umuliggøre adgang til overførselsindkomster på det nuværende niveau. Det afgørende for det danske velfærdssystem var dog, at arbejdsløsheden forblev lav, og at statsgælden fortsat blev nedbragt. Den kostede ved årtusindskiftet 50 milliarder kroner i renter og afdrag.</w:t>
      </w:r>
    </w:p>
    <w:p w14:paraId="7C745B6C"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Både beskæftigelsen og udlandsgælden blev nedbragt fra 1990'ernes anden halvdel. Den andel af den samlede danske befolkning, som bidrog til nationalproduktet, var på grund af kvindernes indtræden på arbejdsmarkedet steget fra cirka 46 % i 1960 til et stykke over 50 % i 2000. Det gav et bedre forhold mellem forsørgere og forsørgede end i de fleste andre lande i verden.</w:t>
      </w:r>
    </w:p>
    <w:p w14:paraId="16E42D81"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r w:rsidRPr="00922EED">
        <w:rPr>
          <w:rFonts w:ascii="Verdana" w:eastAsia="Times New Roman" w:hAnsi="Verdana" w:cs="Times New Roman"/>
          <w:color w:val="464646"/>
          <w:sz w:val="24"/>
          <w:szCs w:val="24"/>
          <w:lang w:eastAsia="da-DK"/>
        </w:rPr>
        <w:t xml:space="preserve">Grundlæggende forblev det danske velfærdssystem et omfattende offentligt system, der omfordelte store midler mellem næsten alle de danske borgere. Under </w:t>
      </w:r>
      <w:proofErr w:type="spellStart"/>
      <w:r w:rsidRPr="00922EED">
        <w:rPr>
          <w:rFonts w:ascii="Verdana" w:eastAsia="Times New Roman" w:hAnsi="Verdana" w:cs="Times New Roman"/>
          <w:color w:val="464646"/>
          <w:sz w:val="24"/>
          <w:szCs w:val="24"/>
          <w:lang w:eastAsia="da-DK"/>
        </w:rPr>
        <w:t>VK-regeringen</w:t>
      </w:r>
      <w:proofErr w:type="spellEnd"/>
      <w:r w:rsidRPr="00922EED">
        <w:rPr>
          <w:rFonts w:ascii="Verdana" w:eastAsia="Times New Roman" w:hAnsi="Verdana" w:cs="Times New Roman"/>
          <w:color w:val="464646"/>
          <w:sz w:val="24"/>
          <w:szCs w:val="24"/>
          <w:lang w:eastAsia="da-DK"/>
        </w:rPr>
        <w:t xml:space="preserve"> blev stigningstakten i de midler, som blev brugt på den offentlige sektor dog søgt dæmpet til 0,5 % om året. Dette ville over en længere årrække føre til en forholdsmæssig formindskelse af denne og dermed også af det offentlige velfærdssystem over for den private sektor. I 2008 havde private sundhedsforsikringer og private hospitaler antaget </w:t>
      </w:r>
      <w:proofErr w:type="gramStart"/>
      <w:r w:rsidRPr="00922EED">
        <w:rPr>
          <w:rFonts w:ascii="Verdana" w:eastAsia="Times New Roman" w:hAnsi="Verdana" w:cs="Times New Roman"/>
          <w:color w:val="464646"/>
          <w:sz w:val="24"/>
          <w:szCs w:val="24"/>
          <w:lang w:eastAsia="da-DK"/>
        </w:rPr>
        <w:t>et sådant omgang</w:t>
      </w:r>
      <w:proofErr w:type="gramEnd"/>
      <w:r w:rsidRPr="00922EED">
        <w:rPr>
          <w:rFonts w:ascii="Verdana" w:eastAsia="Times New Roman" w:hAnsi="Verdana" w:cs="Times New Roman"/>
          <w:color w:val="464646"/>
          <w:sz w:val="24"/>
          <w:szCs w:val="24"/>
          <w:lang w:eastAsia="da-DK"/>
        </w:rPr>
        <w:t>, at det kom til offentlig drøftelse af, om dette truede den lige adgang til sundhedsvæsenets ydelser.</w:t>
      </w:r>
    </w:p>
    <w:p w14:paraId="4AB27DA9" w14:textId="77777777" w:rsidR="00922EED" w:rsidRPr="00922EED" w:rsidRDefault="00922EED" w:rsidP="00922EED">
      <w:pPr>
        <w:shd w:val="clear" w:color="auto" w:fill="FFFFFF"/>
        <w:spacing w:after="300" w:line="300" w:lineRule="atLeast"/>
        <w:rPr>
          <w:rFonts w:ascii="Verdana" w:eastAsia="Times New Roman" w:hAnsi="Verdana" w:cs="Times New Roman"/>
          <w:color w:val="464646"/>
          <w:sz w:val="24"/>
          <w:szCs w:val="24"/>
          <w:lang w:eastAsia="da-DK"/>
        </w:rPr>
      </w:pPr>
    </w:p>
    <w:p w14:paraId="3C8BA765" w14:textId="77777777" w:rsidR="00922EED" w:rsidRPr="00922EED" w:rsidRDefault="00922EED">
      <w:pPr>
        <w:rPr>
          <w:sz w:val="24"/>
          <w:szCs w:val="24"/>
        </w:rPr>
      </w:pPr>
    </w:p>
    <w:sectPr w:rsidR="00922EED" w:rsidRPr="00922EED">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5779" w14:textId="77777777" w:rsidR="00115FA9" w:rsidRDefault="00115FA9" w:rsidP="00922EED">
      <w:pPr>
        <w:spacing w:after="0" w:line="240" w:lineRule="auto"/>
      </w:pPr>
      <w:r>
        <w:separator/>
      </w:r>
    </w:p>
  </w:endnote>
  <w:endnote w:type="continuationSeparator" w:id="0">
    <w:p w14:paraId="128C6FF1" w14:textId="77777777" w:rsidR="00115FA9" w:rsidRDefault="00115FA9" w:rsidP="0092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86F2" w14:textId="77777777" w:rsidR="00115FA9" w:rsidRDefault="00115FA9" w:rsidP="00922EED">
      <w:pPr>
        <w:spacing w:after="0" w:line="240" w:lineRule="auto"/>
      </w:pPr>
      <w:r>
        <w:separator/>
      </w:r>
    </w:p>
  </w:footnote>
  <w:footnote w:type="continuationSeparator" w:id="0">
    <w:p w14:paraId="2B1CC12F" w14:textId="77777777" w:rsidR="00115FA9" w:rsidRDefault="00115FA9" w:rsidP="0092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8846"/>
      <w:gridCol w:w="792"/>
    </w:tblGrid>
    <w:tr w:rsidR="00922EED" w14:paraId="3180191F" w14:textId="77777777">
      <w:trPr>
        <w:trHeight w:hRule="exact" w:val="792"/>
        <w:jc w:val="right"/>
      </w:trPr>
      <w:sdt>
        <w:sdtPr>
          <w:rPr>
            <w:rFonts w:asciiTheme="majorHAnsi" w:eastAsiaTheme="majorEastAsia" w:hAnsiTheme="majorHAnsi" w:cstheme="majorBidi"/>
            <w:sz w:val="28"/>
            <w:szCs w:val="28"/>
          </w:rPr>
          <w:alias w:val="Titel"/>
          <w:id w:val="23771477"/>
          <w:placeholder>
            <w:docPart w:val="7A052CCC3906441191D31CA644FE9859"/>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14:paraId="4853E5BE" w14:textId="77777777" w:rsidR="00922EED" w:rsidRDefault="00922EED">
              <w:pPr>
                <w:pStyle w:val="Sidehoved"/>
                <w:jc w:val="right"/>
                <w:rPr>
                  <w:rFonts w:asciiTheme="majorHAnsi" w:eastAsiaTheme="majorEastAsia" w:hAnsiTheme="majorHAnsi" w:cstheme="majorBidi"/>
                  <w:sz w:val="28"/>
                  <w:szCs w:val="28"/>
                </w:rPr>
              </w:pPr>
              <w:r w:rsidRPr="00922EED">
                <w:rPr>
                  <w:rFonts w:asciiTheme="majorHAnsi" w:eastAsiaTheme="majorEastAsia" w:hAnsiTheme="majorHAnsi" w:cstheme="majorBidi"/>
                  <w:sz w:val="28"/>
                  <w:szCs w:val="28"/>
                </w:rPr>
                <w:t>http://danmarkshistorien.dk/perioder/kold-krig-og-velfaerdsstat-1945-1973/velfaerdsstaten/</w:t>
              </w:r>
            </w:p>
          </w:tc>
        </w:sdtContent>
      </w:sdt>
      <w:tc>
        <w:tcPr>
          <w:tcW w:w="792" w:type="dxa"/>
          <w:shd w:val="clear" w:color="auto" w:fill="C0504D" w:themeFill="accent2"/>
          <w:vAlign w:val="center"/>
        </w:tcPr>
        <w:p w14:paraId="55A18BE1" w14:textId="77777777" w:rsidR="00922EED" w:rsidRDefault="00922EED">
          <w:pPr>
            <w:pStyle w:val="Sidehoved"/>
            <w:jc w:val="center"/>
            <w:rPr>
              <w:color w:val="FFFFFF" w:themeColor="background1"/>
            </w:rPr>
          </w:pPr>
          <w:r>
            <w:fldChar w:fldCharType="begin"/>
          </w:r>
          <w:r>
            <w:instrText>PAGE  \* MERGEFORMAT</w:instrText>
          </w:r>
          <w:r>
            <w:fldChar w:fldCharType="separate"/>
          </w:r>
          <w:r w:rsidR="001046EA" w:rsidRPr="001046EA">
            <w:rPr>
              <w:noProof/>
              <w:color w:val="FFFFFF" w:themeColor="background1"/>
            </w:rPr>
            <w:t>1</w:t>
          </w:r>
          <w:r>
            <w:rPr>
              <w:color w:val="FFFFFF" w:themeColor="background1"/>
            </w:rPr>
            <w:fldChar w:fldCharType="end"/>
          </w:r>
        </w:p>
      </w:tc>
    </w:tr>
  </w:tbl>
  <w:p w14:paraId="1A5080B2" w14:textId="77777777" w:rsidR="00922EED" w:rsidRDefault="00922EE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ED"/>
    <w:rsid w:val="001046EA"/>
    <w:rsid w:val="00115FA9"/>
    <w:rsid w:val="00206B64"/>
    <w:rsid w:val="006C4E38"/>
    <w:rsid w:val="00764313"/>
    <w:rsid w:val="00786428"/>
    <w:rsid w:val="00797E23"/>
    <w:rsid w:val="008A264A"/>
    <w:rsid w:val="00922EED"/>
    <w:rsid w:val="00BA350B"/>
    <w:rsid w:val="00C33E67"/>
    <w:rsid w:val="00D338A0"/>
    <w:rsid w:val="00DC690F"/>
    <w:rsid w:val="00E75268"/>
    <w:rsid w:val="00F047D0"/>
    <w:rsid w:val="00F221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C96E"/>
  <w15:docId w15:val="{53FD015E-DABD-4D11-A9B7-9F849E03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922EE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22EED"/>
    <w:rPr>
      <w:rFonts w:ascii="Times New Roman" w:eastAsia="Times New Roman" w:hAnsi="Times New Roman" w:cs="Times New Roman"/>
      <w:b/>
      <w:bCs/>
      <w:sz w:val="36"/>
      <w:szCs w:val="36"/>
      <w:lang w:eastAsia="da-DK"/>
    </w:rPr>
  </w:style>
  <w:style w:type="character" w:styleId="Strk">
    <w:name w:val="Strong"/>
    <w:basedOn w:val="Standardskrifttypeiafsnit"/>
    <w:uiPriority w:val="22"/>
    <w:qFormat/>
    <w:rsid w:val="00922EED"/>
    <w:rPr>
      <w:b/>
      <w:bCs/>
    </w:rPr>
  </w:style>
  <w:style w:type="paragraph" w:styleId="NormalWeb">
    <w:name w:val="Normal (Web)"/>
    <w:basedOn w:val="Normal"/>
    <w:uiPriority w:val="99"/>
    <w:semiHidden/>
    <w:unhideWhenUsed/>
    <w:rsid w:val="00922EE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922E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2EED"/>
  </w:style>
  <w:style w:type="paragraph" w:styleId="Sidefod">
    <w:name w:val="footer"/>
    <w:basedOn w:val="Normal"/>
    <w:link w:val="SidefodTegn"/>
    <w:uiPriority w:val="99"/>
    <w:unhideWhenUsed/>
    <w:rsid w:val="00922E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2EED"/>
  </w:style>
  <w:style w:type="paragraph" w:styleId="Markeringsbobletekst">
    <w:name w:val="Balloon Text"/>
    <w:basedOn w:val="Normal"/>
    <w:link w:val="MarkeringsbobletekstTegn"/>
    <w:uiPriority w:val="99"/>
    <w:semiHidden/>
    <w:unhideWhenUsed/>
    <w:rsid w:val="00922E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2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9027">
      <w:bodyDiv w:val="1"/>
      <w:marLeft w:val="0"/>
      <w:marRight w:val="0"/>
      <w:marTop w:val="0"/>
      <w:marBottom w:val="0"/>
      <w:divBdr>
        <w:top w:val="none" w:sz="0" w:space="0" w:color="auto"/>
        <w:left w:val="none" w:sz="0" w:space="0" w:color="auto"/>
        <w:bottom w:val="none" w:sz="0" w:space="0" w:color="auto"/>
        <w:right w:val="none" w:sz="0" w:space="0" w:color="auto"/>
      </w:divBdr>
      <w:divsChild>
        <w:div w:id="878013682">
          <w:marLeft w:val="0"/>
          <w:marRight w:val="0"/>
          <w:marTop w:val="0"/>
          <w:marBottom w:val="330"/>
          <w:divBdr>
            <w:top w:val="none" w:sz="0" w:space="0" w:color="auto"/>
            <w:left w:val="none" w:sz="0" w:space="0" w:color="auto"/>
            <w:bottom w:val="single" w:sz="12" w:space="0" w:color="A0A0A0"/>
            <w:right w:val="none" w:sz="0" w:space="0" w:color="auto"/>
          </w:divBdr>
        </w:div>
        <w:div w:id="1460413366">
          <w:marLeft w:val="0"/>
          <w:marRight w:val="0"/>
          <w:marTop w:val="0"/>
          <w:marBottom w:val="0"/>
          <w:divBdr>
            <w:top w:val="none" w:sz="0" w:space="0" w:color="auto"/>
            <w:left w:val="none" w:sz="0" w:space="0" w:color="auto"/>
            <w:bottom w:val="none" w:sz="0" w:space="0" w:color="auto"/>
            <w:right w:val="none" w:sz="0" w:space="0" w:color="auto"/>
          </w:divBdr>
          <w:divsChild>
            <w:div w:id="3904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3060">
      <w:bodyDiv w:val="1"/>
      <w:marLeft w:val="0"/>
      <w:marRight w:val="0"/>
      <w:marTop w:val="0"/>
      <w:marBottom w:val="0"/>
      <w:divBdr>
        <w:top w:val="none" w:sz="0" w:space="0" w:color="auto"/>
        <w:left w:val="none" w:sz="0" w:space="0" w:color="auto"/>
        <w:bottom w:val="none" w:sz="0" w:space="0" w:color="auto"/>
        <w:right w:val="none" w:sz="0" w:space="0" w:color="auto"/>
      </w:divBdr>
      <w:divsChild>
        <w:div w:id="1466968794">
          <w:marLeft w:val="0"/>
          <w:marRight w:val="0"/>
          <w:marTop w:val="0"/>
          <w:marBottom w:val="330"/>
          <w:divBdr>
            <w:top w:val="none" w:sz="0" w:space="0" w:color="auto"/>
            <w:left w:val="none" w:sz="0" w:space="0" w:color="auto"/>
            <w:bottom w:val="single" w:sz="12" w:space="0" w:color="A0A0A0"/>
            <w:right w:val="none" w:sz="0" w:space="0" w:color="auto"/>
          </w:divBdr>
        </w:div>
        <w:div w:id="1038047999">
          <w:marLeft w:val="0"/>
          <w:marRight w:val="0"/>
          <w:marTop w:val="0"/>
          <w:marBottom w:val="0"/>
          <w:divBdr>
            <w:top w:val="none" w:sz="0" w:space="0" w:color="auto"/>
            <w:left w:val="none" w:sz="0" w:space="0" w:color="auto"/>
            <w:bottom w:val="none" w:sz="0" w:space="0" w:color="auto"/>
            <w:right w:val="none" w:sz="0" w:space="0" w:color="auto"/>
          </w:divBdr>
          <w:divsChild>
            <w:div w:id="2209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484">
      <w:bodyDiv w:val="1"/>
      <w:marLeft w:val="0"/>
      <w:marRight w:val="0"/>
      <w:marTop w:val="0"/>
      <w:marBottom w:val="0"/>
      <w:divBdr>
        <w:top w:val="none" w:sz="0" w:space="0" w:color="auto"/>
        <w:left w:val="none" w:sz="0" w:space="0" w:color="auto"/>
        <w:bottom w:val="none" w:sz="0" w:space="0" w:color="auto"/>
        <w:right w:val="none" w:sz="0" w:space="0" w:color="auto"/>
      </w:divBdr>
      <w:divsChild>
        <w:div w:id="1941792245">
          <w:marLeft w:val="0"/>
          <w:marRight w:val="0"/>
          <w:marTop w:val="0"/>
          <w:marBottom w:val="330"/>
          <w:divBdr>
            <w:top w:val="none" w:sz="0" w:space="0" w:color="auto"/>
            <w:left w:val="none" w:sz="0" w:space="0" w:color="auto"/>
            <w:bottom w:val="single" w:sz="12" w:space="0" w:color="A0A0A0"/>
            <w:right w:val="none" w:sz="0" w:space="0" w:color="auto"/>
          </w:divBdr>
        </w:div>
        <w:div w:id="1243485784">
          <w:marLeft w:val="0"/>
          <w:marRight w:val="0"/>
          <w:marTop w:val="0"/>
          <w:marBottom w:val="0"/>
          <w:divBdr>
            <w:top w:val="none" w:sz="0" w:space="0" w:color="auto"/>
            <w:left w:val="none" w:sz="0" w:space="0" w:color="auto"/>
            <w:bottom w:val="none" w:sz="0" w:space="0" w:color="auto"/>
            <w:right w:val="none" w:sz="0" w:space="0" w:color="auto"/>
          </w:divBdr>
          <w:divsChild>
            <w:div w:id="1719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326">
      <w:bodyDiv w:val="1"/>
      <w:marLeft w:val="0"/>
      <w:marRight w:val="0"/>
      <w:marTop w:val="0"/>
      <w:marBottom w:val="0"/>
      <w:divBdr>
        <w:top w:val="none" w:sz="0" w:space="0" w:color="auto"/>
        <w:left w:val="none" w:sz="0" w:space="0" w:color="auto"/>
        <w:bottom w:val="none" w:sz="0" w:space="0" w:color="auto"/>
        <w:right w:val="none" w:sz="0" w:space="0" w:color="auto"/>
      </w:divBdr>
      <w:divsChild>
        <w:div w:id="1920289956">
          <w:marLeft w:val="0"/>
          <w:marRight w:val="0"/>
          <w:marTop w:val="0"/>
          <w:marBottom w:val="0"/>
          <w:divBdr>
            <w:top w:val="none" w:sz="0" w:space="0" w:color="auto"/>
            <w:left w:val="none" w:sz="0" w:space="0" w:color="auto"/>
            <w:bottom w:val="none" w:sz="0" w:space="0" w:color="auto"/>
            <w:right w:val="none" w:sz="0" w:space="0" w:color="auto"/>
          </w:divBdr>
        </w:div>
      </w:divsChild>
    </w:div>
    <w:div w:id="1385176602">
      <w:bodyDiv w:val="1"/>
      <w:marLeft w:val="0"/>
      <w:marRight w:val="0"/>
      <w:marTop w:val="0"/>
      <w:marBottom w:val="0"/>
      <w:divBdr>
        <w:top w:val="none" w:sz="0" w:space="0" w:color="auto"/>
        <w:left w:val="none" w:sz="0" w:space="0" w:color="auto"/>
        <w:bottom w:val="none" w:sz="0" w:space="0" w:color="auto"/>
        <w:right w:val="none" w:sz="0" w:space="0" w:color="auto"/>
      </w:divBdr>
      <w:divsChild>
        <w:div w:id="1212839890">
          <w:marLeft w:val="0"/>
          <w:marRight w:val="0"/>
          <w:marTop w:val="0"/>
          <w:marBottom w:val="0"/>
          <w:divBdr>
            <w:top w:val="none" w:sz="0" w:space="0" w:color="auto"/>
            <w:left w:val="none" w:sz="0" w:space="0" w:color="auto"/>
            <w:bottom w:val="none" w:sz="0" w:space="0" w:color="auto"/>
            <w:right w:val="none" w:sz="0" w:space="0" w:color="auto"/>
          </w:divBdr>
        </w:div>
      </w:divsChild>
    </w:div>
    <w:div w:id="1450705788">
      <w:bodyDiv w:val="1"/>
      <w:marLeft w:val="0"/>
      <w:marRight w:val="0"/>
      <w:marTop w:val="0"/>
      <w:marBottom w:val="0"/>
      <w:divBdr>
        <w:top w:val="none" w:sz="0" w:space="0" w:color="auto"/>
        <w:left w:val="none" w:sz="0" w:space="0" w:color="auto"/>
        <w:bottom w:val="none" w:sz="0" w:space="0" w:color="auto"/>
        <w:right w:val="none" w:sz="0" w:space="0" w:color="auto"/>
      </w:divBdr>
      <w:divsChild>
        <w:div w:id="110786135">
          <w:marLeft w:val="0"/>
          <w:marRight w:val="0"/>
          <w:marTop w:val="0"/>
          <w:marBottom w:val="330"/>
          <w:divBdr>
            <w:top w:val="none" w:sz="0" w:space="0" w:color="auto"/>
            <w:left w:val="none" w:sz="0" w:space="0" w:color="auto"/>
            <w:bottom w:val="single" w:sz="12" w:space="0" w:color="A0A0A0"/>
            <w:right w:val="none" w:sz="0" w:space="0" w:color="auto"/>
          </w:divBdr>
        </w:div>
        <w:div w:id="1971284224">
          <w:marLeft w:val="0"/>
          <w:marRight w:val="0"/>
          <w:marTop w:val="0"/>
          <w:marBottom w:val="0"/>
          <w:divBdr>
            <w:top w:val="none" w:sz="0" w:space="0" w:color="auto"/>
            <w:left w:val="none" w:sz="0" w:space="0" w:color="auto"/>
            <w:bottom w:val="none" w:sz="0" w:space="0" w:color="auto"/>
            <w:right w:val="none" w:sz="0" w:space="0" w:color="auto"/>
          </w:divBdr>
          <w:divsChild>
            <w:div w:id="4306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2554">
      <w:bodyDiv w:val="1"/>
      <w:marLeft w:val="0"/>
      <w:marRight w:val="0"/>
      <w:marTop w:val="0"/>
      <w:marBottom w:val="0"/>
      <w:divBdr>
        <w:top w:val="none" w:sz="0" w:space="0" w:color="auto"/>
        <w:left w:val="none" w:sz="0" w:space="0" w:color="auto"/>
        <w:bottom w:val="none" w:sz="0" w:space="0" w:color="auto"/>
        <w:right w:val="none" w:sz="0" w:space="0" w:color="auto"/>
      </w:divBdr>
      <w:divsChild>
        <w:div w:id="2043509654">
          <w:marLeft w:val="0"/>
          <w:marRight w:val="0"/>
          <w:marTop w:val="0"/>
          <w:marBottom w:val="330"/>
          <w:divBdr>
            <w:top w:val="none" w:sz="0" w:space="0" w:color="auto"/>
            <w:left w:val="none" w:sz="0" w:space="0" w:color="auto"/>
            <w:bottom w:val="single" w:sz="12" w:space="0" w:color="A0A0A0"/>
            <w:right w:val="none" w:sz="0" w:space="0" w:color="auto"/>
          </w:divBdr>
        </w:div>
        <w:div w:id="1408846615">
          <w:marLeft w:val="0"/>
          <w:marRight w:val="0"/>
          <w:marTop w:val="0"/>
          <w:marBottom w:val="0"/>
          <w:divBdr>
            <w:top w:val="none" w:sz="0" w:space="0" w:color="auto"/>
            <w:left w:val="none" w:sz="0" w:space="0" w:color="auto"/>
            <w:bottom w:val="none" w:sz="0" w:space="0" w:color="auto"/>
            <w:right w:val="none" w:sz="0" w:space="0" w:color="auto"/>
          </w:divBdr>
          <w:divsChild>
            <w:div w:id="12248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3271">
      <w:bodyDiv w:val="1"/>
      <w:marLeft w:val="0"/>
      <w:marRight w:val="0"/>
      <w:marTop w:val="0"/>
      <w:marBottom w:val="0"/>
      <w:divBdr>
        <w:top w:val="none" w:sz="0" w:space="0" w:color="auto"/>
        <w:left w:val="none" w:sz="0" w:space="0" w:color="auto"/>
        <w:bottom w:val="none" w:sz="0" w:space="0" w:color="auto"/>
        <w:right w:val="none" w:sz="0" w:space="0" w:color="auto"/>
      </w:divBdr>
      <w:divsChild>
        <w:div w:id="1188566245">
          <w:marLeft w:val="0"/>
          <w:marRight w:val="0"/>
          <w:marTop w:val="0"/>
          <w:marBottom w:val="330"/>
          <w:divBdr>
            <w:top w:val="none" w:sz="0" w:space="0" w:color="auto"/>
            <w:left w:val="none" w:sz="0" w:space="0" w:color="auto"/>
            <w:bottom w:val="single" w:sz="12" w:space="0" w:color="A0A0A0"/>
            <w:right w:val="none" w:sz="0" w:space="0" w:color="auto"/>
          </w:divBdr>
        </w:div>
        <w:div w:id="739712739">
          <w:marLeft w:val="0"/>
          <w:marRight w:val="0"/>
          <w:marTop w:val="0"/>
          <w:marBottom w:val="0"/>
          <w:divBdr>
            <w:top w:val="none" w:sz="0" w:space="0" w:color="auto"/>
            <w:left w:val="none" w:sz="0" w:space="0" w:color="auto"/>
            <w:bottom w:val="none" w:sz="0" w:space="0" w:color="auto"/>
            <w:right w:val="none" w:sz="0" w:space="0" w:color="auto"/>
          </w:divBdr>
          <w:divsChild>
            <w:div w:id="3762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052CCC3906441191D31CA644FE9859"/>
        <w:category>
          <w:name w:val="Generelt"/>
          <w:gallery w:val="placeholder"/>
        </w:category>
        <w:types>
          <w:type w:val="bbPlcHdr"/>
        </w:types>
        <w:behaviors>
          <w:behavior w:val="content"/>
        </w:behaviors>
        <w:guid w:val="{29B9B8AF-A7A1-47F4-AA6C-AE51DDB9C97D}"/>
      </w:docPartPr>
      <w:docPartBody>
        <w:p w:rsidR="00EC30E9" w:rsidRDefault="00531923" w:rsidP="00531923">
          <w:pPr>
            <w:pStyle w:val="7A052CCC3906441191D31CA644FE9859"/>
          </w:pPr>
          <w:r>
            <w:rPr>
              <w:rFonts w:asciiTheme="majorHAnsi" w:eastAsiaTheme="majorEastAsia" w:hAnsiTheme="majorHAnsi" w:cstheme="majorBidi"/>
              <w:sz w:val="28"/>
              <w:szCs w:val="28"/>
            </w:rPr>
            <w:t>[Skriv titlen på dokumentet]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923"/>
    <w:rsid w:val="003A48E0"/>
    <w:rsid w:val="00531923"/>
    <w:rsid w:val="005A6543"/>
    <w:rsid w:val="00EC30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7A052CCC3906441191D31CA644FE9859">
    <w:name w:val="7A052CCC3906441191D31CA644FE9859"/>
    <w:rsid w:val="00531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4007</Words>
  <Characters>24447</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http://danmarkshistorien.dk/perioder/kold-krig-og-velfaerdsstat-1945-1973/velfaerdsstaten/</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http://danmarkshistorien.dk/perioder/kold-krig-og-velfaerdsstat-1945-1973/velfaerdsstaten/</dc:title>
  <dc:creator>Lone  Milling</dc:creator>
  <cp:lastModifiedBy>Lone Milling</cp:lastModifiedBy>
  <cp:revision>2</cp:revision>
  <dcterms:created xsi:type="dcterms:W3CDTF">2023-12-22T11:33:00Z</dcterms:created>
  <dcterms:modified xsi:type="dcterms:W3CDTF">2023-12-22T11:33:00Z</dcterms:modified>
</cp:coreProperties>
</file>