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34F0" w14:textId="77777777" w:rsidR="008E1CBF" w:rsidRPr="008E1CBF" w:rsidRDefault="008E1CBF" w:rsidP="008E1CBF">
      <w:pPr>
        <w:rPr>
          <w:b/>
          <w:bCs/>
        </w:rPr>
      </w:pPr>
      <w:r w:rsidRPr="008E1CBF">
        <w:rPr>
          <w:b/>
          <w:bCs/>
        </w:rPr>
        <w:t>Periodiseringsprincipper</w:t>
      </w:r>
    </w:p>
    <w:p w14:paraId="4719CB5B" w14:textId="77777777" w:rsidR="008E1CBF" w:rsidRPr="008E1CBF" w:rsidRDefault="008E1CBF" w:rsidP="008E1CBF">
      <w:r w:rsidRPr="008E1CBF">
        <w:t>I historie arbejder man typisk med fire forskellige </w:t>
      </w:r>
      <w:r w:rsidRPr="008E1CBF">
        <w:rPr>
          <w:i/>
          <w:iCs/>
        </w:rPr>
        <w:t>periodiseringsprincipper</w:t>
      </w:r>
      <w:r w:rsidRPr="008E1CBF">
        <w:t>:</w:t>
      </w:r>
    </w:p>
    <w:p w14:paraId="439B4723" w14:textId="77777777" w:rsidR="008E1CBF" w:rsidRPr="008E1CBF" w:rsidRDefault="008E1CBF" w:rsidP="008E1CBF">
      <w:r w:rsidRPr="008E1CBF">
        <w:rPr>
          <w:b/>
          <w:bCs/>
        </w:rPr>
        <w:t>Klassisk periodisering</w:t>
      </w:r>
      <w:r w:rsidRPr="008E1CBF">
        <w:t>: Her skelner man mellem forhistorisk tid og historisk tid efter en række overordnede kriterier – fx hvad der kendetegnede de redskaber, man opfandt og brugte (Stenalder, Bronzealder og Jernalder), eller efter hvad der karakteriserede et afgørende 'brud' i den fortidige virkelighed.</w:t>
      </w:r>
    </w:p>
    <w:p w14:paraId="3704E4D4" w14:textId="77777777" w:rsidR="008E1CBF" w:rsidRPr="008E1CBF" w:rsidRDefault="008E1CBF" w:rsidP="008E1CBF">
      <w:r w:rsidRPr="008E1CBF">
        <w:rPr>
          <w:b/>
          <w:bCs/>
        </w:rPr>
        <w:t>Begivenhedsperiodisering</w:t>
      </w:r>
      <w:r w:rsidRPr="008E1CBF">
        <w:t>: Her fokuserer man på de centrale begivenheder, fænomener eller bestemte træk ved en given periode og bruger dem som periodiseringsmarkører – fx 'det antikke demokrati', 'Vikingetiden', 'Korstogene', 'Reformationen', 'Enevældens tidsalder', 'Industrialiseringen' eller 'Danmarks besættelse'.</w:t>
      </w:r>
    </w:p>
    <w:p w14:paraId="51CB6E0F" w14:textId="77777777" w:rsidR="008E1CBF" w:rsidRPr="008E1CBF" w:rsidRDefault="008E1CBF" w:rsidP="008E1CBF">
      <w:r w:rsidRPr="008E1CBF">
        <w:rPr>
          <w:b/>
          <w:bCs/>
        </w:rPr>
        <w:t>Materialistisk periodisering</w:t>
      </w:r>
      <w:r w:rsidRPr="008E1CBF">
        <w:t>: Her vil man typisk periodisere den historiske udvikling efter en række samfundstyper eller strukturelle træk. Den materialistiske periodisering fokuserer på, hvad der karakteriserer samfundenes produktionsformer, teknologier, livsformer og magtforhold.</w:t>
      </w:r>
    </w:p>
    <w:p w14:paraId="044A1583" w14:textId="77777777" w:rsidR="008E1CBF" w:rsidRPr="008E1CBF" w:rsidRDefault="008E1CBF" w:rsidP="008E1CBF">
      <w:r w:rsidRPr="008E1CBF">
        <w:rPr>
          <w:b/>
          <w:bCs/>
        </w:rPr>
        <w:t>Postmoderne periodisering</w:t>
      </w:r>
      <w:r w:rsidRPr="008E1CBF">
        <w:t>: Når man periodiserer efter et postmoderne princip, så inddeler man den fortidige virkelighed i lige og runde tal uden fokus på bestemte begivenheder eller historiske fænomener. Det skyldes, at den postmoderne tilgang fremhæver den historiske udvikling som konstrueret af historikerne på baggrund af forskellige fortolkninger. I et postmoderne perspektiv betyder det, at alle periodiseringer er </w:t>
      </w:r>
      <w:r w:rsidRPr="008E1CBF">
        <w:rPr>
          <w:i/>
          <w:iCs/>
        </w:rPr>
        <w:t>lige gyldige</w:t>
      </w:r>
      <w:r w:rsidRPr="008E1CBF">
        <w:t> og derfor heller ikke er specielt vigtige for den historiske viden og fremstilling.</w:t>
      </w:r>
    </w:p>
    <w:p w14:paraId="2927F0D3" w14:textId="77777777" w:rsidR="008E1CBF" w:rsidRPr="008E1CBF" w:rsidRDefault="008E1CBF" w:rsidP="008E1CBF">
      <w:r w:rsidRPr="008E1CBF">
        <w:t>Kilde: Henrik Bonne Larsen og Thorkil Smitt: Introduktion til historie. Systime, 2005.</w:t>
      </w:r>
    </w:p>
    <w:p w14:paraId="654618B6" w14:textId="77777777" w:rsidR="00F3008C" w:rsidRPr="00F3008C" w:rsidRDefault="00F3008C" w:rsidP="00F3008C">
      <w:pPr>
        <w:rPr>
          <w:b/>
          <w:bCs/>
        </w:rPr>
      </w:pPr>
      <w:r w:rsidRPr="00F3008C">
        <w:rPr>
          <w:b/>
          <w:bCs/>
        </w:rPr>
        <w:t>At analysere periodisering i historiske fremstillinger</w:t>
      </w:r>
    </w:p>
    <w:p w14:paraId="4D2EF002" w14:textId="77777777" w:rsidR="00F3008C" w:rsidRPr="00F3008C" w:rsidRDefault="00F3008C" w:rsidP="00F3008C">
      <w:r w:rsidRPr="00F3008C">
        <w:t>Når man undersøger forskellige historiske fremstillingers periodisering, kan man fokusere på følgende:</w:t>
      </w:r>
    </w:p>
    <w:p w14:paraId="1CBA5A2A" w14:textId="77777777" w:rsidR="00F3008C" w:rsidRPr="00F3008C" w:rsidRDefault="00F3008C" w:rsidP="00F3008C">
      <w:pPr>
        <w:numPr>
          <w:ilvl w:val="0"/>
          <w:numId w:val="1"/>
        </w:numPr>
      </w:pPr>
      <w:r w:rsidRPr="00F3008C">
        <w:t>Hvilken overskrift bruges til at betegne perioden? Er overskriften tendentiøs?</w:t>
      </w:r>
    </w:p>
    <w:p w14:paraId="3421C424" w14:textId="77777777" w:rsidR="00F3008C" w:rsidRPr="00F3008C" w:rsidRDefault="00F3008C" w:rsidP="00F3008C">
      <w:pPr>
        <w:numPr>
          <w:ilvl w:val="0"/>
          <w:numId w:val="1"/>
        </w:numPr>
      </w:pPr>
      <w:r w:rsidRPr="00F3008C">
        <w:t>Hvorfor betegnes perioden, som den gør?</w:t>
      </w:r>
    </w:p>
    <w:p w14:paraId="0E6E6C7A" w14:textId="77777777" w:rsidR="00F3008C" w:rsidRPr="00F3008C" w:rsidRDefault="00F3008C" w:rsidP="00F3008C">
      <w:pPr>
        <w:numPr>
          <w:ilvl w:val="0"/>
          <w:numId w:val="1"/>
        </w:numPr>
      </w:pPr>
      <w:r w:rsidRPr="00F3008C">
        <w:t>Hvordan afgrænses perioden i tid?</w:t>
      </w:r>
    </w:p>
    <w:p w14:paraId="3D443E2A" w14:textId="77777777" w:rsidR="00F3008C" w:rsidRPr="00F3008C" w:rsidRDefault="00F3008C" w:rsidP="00F3008C">
      <w:pPr>
        <w:numPr>
          <w:ilvl w:val="0"/>
          <w:numId w:val="1"/>
        </w:numPr>
      </w:pPr>
      <w:r w:rsidRPr="00F3008C">
        <w:t>Hvad opfattes som brud og kontinuitet i perioden?</w:t>
      </w:r>
    </w:p>
    <w:p w14:paraId="7E11B3C9" w14:textId="77777777" w:rsidR="00F3008C" w:rsidRPr="00F3008C" w:rsidRDefault="00F3008C" w:rsidP="00F3008C">
      <w:pPr>
        <w:numPr>
          <w:ilvl w:val="0"/>
          <w:numId w:val="1"/>
        </w:numPr>
      </w:pPr>
      <w:r w:rsidRPr="00F3008C">
        <w:t>Hvad fremhæves og hvad vælges fra i perioden?</w:t>
      </w:r>
    </w:p>
    <w:p w14:paraId="082B20C1" w14:textId="77777777" w:rsidR="00F3008C" w:rsidRPr="00F3008C" w:rsidRDefault="00F3008C" w:rsidP="00F3008C">
      <w:pPr>
        <w:numPr>
          <w:ilvl w:val="0"/>
          <w:numId w:val="1"/>
        </w:numPr>
      </w:pPr>
      <w:r w:rsidRPr="00F3008C">
        <w:t>Hvilken sammenhæng opstår mellem periodisering og historieopfattelse?</w:t>
      </w:r>
    </w:p>
    <w:p w14:paraId="799453F7" w14:textId="77777777" w:rsidR="00F3008C" w:rsidRPr="00F3008C" w:rsidRDefault="00F3008C" w:rsidP="00F3008C">
      <w:pPr>
        <w:numPr>
          <w:ilvl w:val="0"/>
          <w:numId w:val="1"/>
        </w:numPr>
      </w:pPr>
      <w:r w:rsidRPr="00F3008C">
        <w:t>Hvilken betydning har periodiseringen for den historiefaglige erkendelse?</w:t>
      </w:r>
    </w:p>
    <w:p w14:paraId="4A66325A" w14:textId="77777777" w:rsidR="00F3008C" w:rsidRPr="00F3008C" w:rsidRDefault="00F3008C" w:rsidP="00F3008C">
      <w:pPr>
        <w:numPr>
          <w:ilvl w:val="0"/>
          <w:numId w:val="1"/>
        </w:numPr>
      </w:pPr>
      <w:r w:rsidRPr="00F3008C">
        <w:t>Hvordan ville du selv periodisere?</w:t>
      </w:r>
    </w:p>
    <w:p w14:paraId="4DA677D8" w14:textId="77777777" w:rsidR="00F3008C" w:rsidRPr="00F3008C" w:rsidRDefault="00F3008C" w:rsidP="00F3008C">
      <w:r w:rsidRPr="00F3008C">
        <w:rPr>
          <w:b/>
          <w:bCs/>
        </w:rPr>
        <w:t>Central pointe</w:t>
      </w:r>
      <w:r w:rsidRPr="00F3008C">
        <w:t>: Periodiseringsprincipper har at gøre med, hvordan man fortolker den fortidige virkelighed. Overvejelser om periodisering – både egen og andres – kan styrke den historiefaglige argumentation, fordi man kritisk reflekterer over, hvordan man mest hensigtsmæssigt skaber overblik og forståelse for historisk udvikling.</w:t>
      </w:r>
    </w:p>
    <w:p w14:paraId="0A16A70E" w14:textId="77777777" w:rsidR="00D770DE" w:rsidRPr="00D770DE" w:rsidRDefault="00D770DE" w:rsidP="00D770DE">
      <w:pPr>
        <w:rPr>
          <w:b/>
          <w:bCs/>
        </w:rPr>
      </w:pPr>
      <w:r w:rsidRPr="00D770DE">
        <w:rPr>
          <w:b/>
          <w:bCs/>
        </w:rPr>
        <w:t>Øvelse: Ekstremernes århundrede?</w:t>
      </w:r>
    </w:p>
    <w:p w14:paraId="22138533" w14:textId="77777777" w:rsidR="00D770DE" w:rsidRPr="00D770DE" w:rsidRDefault="00D770DE" w:rsidP="00D770DE">
      <w:r w:rsidRPr="00D770DE">
        <w:lastRenderedPageBreak/>
        <w:t xml:space="preserve">Den britiske historiker Eric </w:t>
      </w:r>
      <w:proofErr w:type="spellStart"/>
      <w:r w:rsidRPr="00D770DE">
        <w:t>Hobsbawm</w:t>
      </w:r>
      <w:proofErr w:type="spellEnd"/>
      <w:r w:rsidRPr="00D770DE">
        <w:t xml:space="preserve"> har i sit værk </w:t>
      </w:r>
      <w:r w:rsidRPr="00D770DE">
        <w:rPr>
          <w:i/>
          <w:iCs/>
        </w:rPr>
        <w:t>Ekstremernes århundrede. Verdens historie 1914-1994</w:t>
      </w:r>
      <w:r w:rsidRPr="00D770DE">
        <w:t xml:space="preserve"> (1994) inddelt det 20. århundrede i følgende tre dele: "Katastrofernes tid (1914-45)", "Den gyldne tid (1945-75)" og "Jordskredet (1975-94)". Mange historikere har anerkendt </w:t>
      </w:r>
      <w:proofErr w:type="spellStart"/>
      <w:r w:rsidRPr="00D770DE">
        <w:t>Hobsbawms</w:t>
      </w:r>
      <w:proofErr w:type="spellEnd"/>
      <w:r w:rsidRPr="00D770DE">
        <w:t xml:space="preserve"> periodisering og deler opfattelsen af, hvad der udgør brud og kontinuitet i "det korte 20. århundrede", som </w:t>
      </w:r>
      <w:proofErr w:type="spellStart"/>
      <w:r w:rsidRPr="00D770DE">
        <w:t>Hobsbawm</w:t>
      </w:r>
      <w:proofErr w:type="spellEnd"/>
      <w:r w:rsidRPr="00D770DE">
        <w:t xml:space="preserve"> benævner det.</w:t>
      </w:r>
    </w:p>
    <w:p w14:paraId="61E9C972" w14:textId="77777777" w:rsidR="00D770DE" w:rsidRPr="00D770DE" w:rsidRDefault="00D770DE" w:rsidP="00D770DE">
      <w:pPr>
        <w:numPr>
          <w:ilvl w:val="0"/>
          <w:numId w:val="2"/>
        </w:numPr>
      </w:pPr>
      <w:r w:rsidRPr="00D770DE">
        <w:t xml:space="preserve">Hvordan tolker du </w:t>
      </w:r>
      <w:proofErr w:type="spellStart"/>
      <w:r w:rsidRPr="00D770DE">
        <w:t>Hobsbawms</w:t>
      </w:r>
      <w:proofErr w:type="spellEnd"/>
      <w:r w:rsidRPr="00D770DE">
        <w:t xml:space="preserve"> periodisering og overskrifter?</w:t>
      </w:r>
    </w:p>
    <w:p w14:paraId="60E20509" w14:textId="77777777" w:rsidR="00D770DE" w:rsidRPr="00D770DE" w:rsidRDefault="00D770DE" w:rsidP="00D770DE">
      <w:pPr>
        <w:numPr>
          <w:ilvl w:val="0"/>
          <w:numId w:val="2"/>
        </w:numPr>
      </w:pPr>
      <w:r w:rsidRPr="00D770DE">
        <w:t>Giv et konkret bud på, hvordan du selv vil periodisere det 20. århundrede?</w:t>
      </w:r>
    </w:p>
    <w:p w14:paraId="59E81651" w14:textId="77777777" w:rsidR="00D770DE" w:rsidRPr="00D770DE" w:rsidRDefault="00D770DE" w:rsidP="00D770DE">
      <w:pPr>
        <w:numPr>
          <w:ilvl w:val="0"/>
          <w:numId w:val="2"/>
        </w:numPr>
      </w:pPr>
      <w:r w:rsidRPr="00D770DE">
        <w:t>Argumentér grundigt for dine valg og fravalg.</w:t>
      </w:r>
    </w:p>
    <w:p w14:paraId="37ACF86B" w14:textId="77777777" w:rsidR="00D770DE" w:rsidRPr="00D770DE" w:rsidRDefault="00D770DE" w:rsidP="00D770DE">
      <w:pPr>
        <w:numPr>
          <w:ilvl w:val="0"/>
          <w:numId w:val="2"/>
        </w:numPr>
      </w:pPr>
      <w:r w:rsidRPr="00D770DE">
        <w:t>Overvej, om din periodisering afspejler et bestemt </w:t>
      </w:r>
      <w:hyperlink r:id="rId5" w:history="1">
        <w:r w:rsidRPr="00D770DE">
          <w:rPr>
            <w:rStyle w:val="Hyperlink"/>
          </w:rPr>
          <w:t>historiesyn</w:t>
        </w:r>
      </w:hyperlink>
      <w:r w:rsidRPr="00D770DE">
        <w:t>?</w:t>
      </w:r>
    </w:p>
    <w:tbl>
      <w:tblPr>
        <w:tblW w:w="0" w:type="auto"/>
        <w:shd w:val="clear" w:color="auto" w:fill="F8F8F8"/>
        <w:tblCellMar>
          <w:left w:w="0" w:type="dxa"/>
          <w:right w:w="0" w:type="dxa"/>
        </w:tblCellMar>
        <w:tblLook w:val="04A0" w:firstRow="1" w:lastRow="0" w:firstColumn="1" w:lastColumn="0" w:noHBand="0" w:noVBand="1"/>
      </w:tblPr>
      <w:tblGrid>
        <w:gridCol w:w="1656"/>
        <w:gridCol w:w="4551"/>
        <w:gridCol w:w="2580"/>
        <w:gridCol w:w="841"/>
      </w:tblGrid>
      <w:tr w:rsidR="00864016" w:rsidRPr="00864016" w14:paraId="126974B9" w14:textId="77777777">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16AF75B9" w14:textId="77777777" w:rsidR="00864016" w:rsidRPr="00864016" w:rsidRDefault="00864016" w:rsidP="00864016">
            <w:r w:rsidRPr="00864016">
              <w:rPr>
                <w:b/>
                <w:bCs/>
              </w:rPr>
              <w:t>Det materialistiske historiesyn</w:t>
            </w:r>
          </w:p>
        </w:tc>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6443F759" w14:textId="77777777" w:rsidR="00864016" w:rsidRPr="00864016" w:rsidRDefault="00864016" w:rsidP="00864016">
            <w:r w:rsidRPr="00864016">
              <w:t>Historisk forandring skabes på baggrund af økonomiske relationer og udviklinger.</w:t>
            </w:r>
          </w:p>
          <w:p w14:paraId="1E74F391" w14:textId="77777777" w:rsidR="00864016" w:rsidRPr="00864016" w:rsidRDefault="00864016" w:rsidP="00864016">
            <w:r w:rsidRPr="00864016">
              <w:t>Samfundsmæssige strukturer bestemmer historiens drivkraft. Historiens drivkraft sker altså på baggrund af materielle ressourcer udenfor det enkelte menneskes indflydelse. De samfundsmæssige strukturer former således menneskers handlinger.</w:t>
            </w:r>
          </w:p>
          <w:p w14:paraId="07B0BA2D" w14:textId="77777777" w:rsidR="00864016" w:rsidRPr="00864016" w:rsidRDefault="00864016" w:rsidP="00864016">
            <w:r w:rsidRPr="00864016">
              <w:t>I forlængelse af det materialistiske historiesyn findes det </w:t>
            </w:r>
            <w:r w:rsidRPr="00864016">
              <w:rPr>
                <w:i/>
                <w:iCs/>
              </w:rPr>
              <w:t>marxistiske </w:t>
            </w:r>
            <w:r w:rsidRPr="00864016">
              <w:t>historiesyn, der særligt fokuserer på de sociale og økonomiske modsætninger mellem samfundsklasser som historiens drivkraft.</w:t>
            </w:r>
          </w:p>
        </w:tc>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21E3022D" w14:textId="77777777" w:rsidR="00864016" w:rsidRPr="00864016" w:rsidRDefault="00864016" w:rsidP="00864016">
            <w:r w:rsidRPr="00864016">
              <w:t>Fx:</w:t>
            </w:r>
          </w:p>
          <w:p w14:paraId="1CD74A2C" w14:textId="77777777" w:rsidR="00864016" w:rsidRPr="00864016" w:rsidRDefault="00864016" w:rsidP="00864016">
            <w:pPr>
              <w:numPr>
                <w:ilvl w:val="0"/>
                <w:numId w:val="3"/>
              </w:numPr>
            </w:pPr>
            <w:r w:rsidRPr="00864016">
              <w:t>Materielle forhold</w:t>
            </w:r>
          </w:p>
          <w:p w14:paraId="0A453AF3" w14:textId="77777777" w:rsidR="00864016" w:rsidRPr="00864016" w:rsidRDefault="00864016" w:rsidP="00864016">
            <w:pPr>
              <w:numPr>
                <w:ilvl w:val="0"/>
                <w:numId w:val="3"/>
              </w:numPr>
            </w:pPr>
            <w:r w:rsidRPr="00864016">
              <w:t>Magtforhold</w:t>
            </w:r>
          </w:p>
          <w:p w14:paraId="1CF34243" w14:textId="77777777" w:rsidR="00864016" w:rsidRPr="00864016" w:rsidRDefault="00864016" w:rsidP="00864016">
            <w:pPr>
              <w:numPr>
                <w:ilvl w:val="0"/>
                <w:numId w:val="3"/>
              </w:numPr>
            </w:pPr>
            <w:r w:rsidRPr="00864016">
              <w:t>Styreformer</w:t>
            </w:r>
          </w:p>
          <w:p w14:paraId="3B41D0D8" w14:textId="77777777" w:rsidR="00864016" w:rsidRPr="00864016" w:rsidRDefault="00864016" w:rsidP="00864016">
            <w:pPr>
              <w:numPr>
                <w:ilvl w:val="0"/>
                <w:numId w:val="3"/>
              </w:numPr>
            </w:pPr>
            <w:r w:rsidRPr="00864016">
              <w:t>Produktionsforhold</w:t>
            </w:r>
          </w:p>
          <w:p w14:paraId="66F5B367" w14:textId="77777777" w:rsidR="00864016" w:rsidRPr="00864016" w:rsidRDefault="00864016" w:rsidP="00864016">
            <w:pPr>
              <w:numPr>
                <w:ilvl w:val="0"/>
                <w:numId w:val="3"/>
              </w:numPr>
            </w:pPr>
            <w:r w:rsidRPr="00864016">
              <w:t>Levevilkår</w:t>
            </w:r>
          </w:p>
          <w:p w14:paraId="7AF05473" w14:textId="77777777" w:rsidR="00864016" w:rsidRPr="00864016" w:rsidRDefault="00864016" w:rsidP="00864016">
            <w:pPr>
              <w:numPr>
                <w:ilvl w:val="0"/>
                <w:numId w:val="3"/>
              </w:numPr>
            </w:pPr>
            <w:r w:rsidRPr="00864016">
              <w:t>Teknologi</w:t>
            </w:r>
          </w:p>
        </w:tc>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70E4BE67" w14:textId="77777777" w:rsidR="00864016" w:rsidRPr="00864016" w:rsidRDefault="00864016" w:rsidP="00864016">
            <w:r w:rsidRPr="00864016">
              <w:t>Struktur-</w:t>
            </w:r>
            <w:r w:rsidRPr="00864016">
              <w:br/>
              <w:t>niveau</w:t>
            </w:r>
          </w:p>
        </w:tc>
      </w:tr>
      <w:tr w:rsidR="00864016" w:rsidRPr="00864016" w14:paraId="5C60C9A7" w14:textId="77777777">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72AFA80F" w14:textId="77777777" w:rsidR="00864016" w:rsidRPr="00864016" w:rsidRDefault="00864016" w:rsidP="00864016">
            <w:r w:rsidRPr="00864016">
              <w:rPr>
                <w:b/>
                <w:bCs/>
              </w:rPr>
              <w:t>Det idealistiske historiesyn</w:t>
            </w:r>
          </w:p>
        </w:tc>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57CF32E5" w14:textId="77777777" w:rsidR="00864016" w:rsidRPr="00864016" w:rsidRDefault="00864016" w:rsidP="00864016">
            <w:r w:rsidRPr="00864016">
              <w:t>Historisk forandring skabes på baggrund af menneskets idéer og individuelle handlinger.</w:t>
            </w:r>
          </w:p>
          <w:p w14:paraId="42E06750" w14:textId="77777777" w:rsidR="00864016" w:rsidRPr="00864016" w:rsidRDefault="00864016" w:rsidP="00864016">
            <w:r w:rsidRPr="00864016">
              <w:t>Det er den store histories hovedpersoner, idéer og politiske begivenheder, der udgør historiens drivkraft.</w:t>
            </w:r>
          </w:p>
        </w:tc>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35E84606" w14:textId="77777777" w:rsidR="00864016" w:rsidRPr="00864016" w:rsidRDefault="00864016" w:rsidP="00864016">
            <w:r w:rsidRPr="00864016">
              <w:t>Fx:</w:t>
            </w:r>
          </w:p>
          <w:p w14:paraId="2AD3257A" w14:textId="77777777" w:rsidR="00864016" w:rsidRPr="00864016" w:rsidRDefault="00864016" w:rsidP="00864016">
            <w:pPr>
              <w:numPr>
                <w:ilvl w:val="0"/>
                <w:numId w:val="4"/>
              </w:numPr>
            </w:pPr>
            <w:r w:rsidRPr="00864016">
              <w:t>Kulturelle strømninger</w:t>
            </w:r>
          </w:p>
          <w:p w14:paraId="0151963C" w14:textId="77777777" w:rsidR="00864016" w:rsidRPr="00864016" w:rsidRDefault="00864016" w:rsidP="00864016">
            <w:pPr>
              <w:numPr>
                <w:ilvl w:val="0"/>
                <w:numId w:val="4"/>
              </w:numPr>
            </w:pPr>
            <w:r w:rsidRPr="00864016">
              <w:t>Filosofiske idéer</w:t>
            </w:r>
          </w:p>
          <w:p w14:paraId="31FD3844" w14:textId="77777777" w:rsidR="00864016" w:rsidRPr="00864016" w:rsidRDefault="00864016" w:rsidP="00864016">
            <w:pPr>
              <w:numPr>
                <w:ilvl w:val="0"/>
                <w:numId w:val="4"/>
              </w:numPr>
            </w:pPr>
            <w:r w:rsidRPr="00864016">
              <w:t>Politiske idéer</w:t>
            </w:r>
          </w:p>
          <w:p w14:paraId="5A645295" w14:textId="77777777" w:rsidR="00864016" w:rsidRPr="00864016" w:rsidRDefault="00864016" w:rsidP="00864016">
            <w:pPr>
              <w:numPr>
                <w:ilvl w:val="0"/>
                <w:numId w:val="4"/>
              </w:numPr>
            </w:pPr>
            <w:r w:rsidRPr="00864016">
              <w:t>Enkeltpersoner</w:t>
            </w:r>
          </w:p>
          <w:p w14:paraId="55C10737" w14:textId="77777777" w:rsidR="00864016" w:rsidRPr="00864016" w:rsidRDefault="00864016" w:rsidP="00864016">
            <w:pPr>
              <w:numPr>
                <w:ilvl w:val="0"/>
                <w:numId w:val="4"/>
              </w:numPr>
            </w:pPr>
            <w:r w:rsidRPr="00864016">
              <w:t>Organisationer</w:t>
            </w:r>
          </w:p>
          <w:p w14:paraId="693EAC7C" w14:textId="77777777" w:rsidR="00864016" w:rsidRPr="00864016" w:rsidRDefault="00864016" w:rsidP="00864016">
            <w:pPr>
              <w:numPr>
                <w:ilvl w:val="0"/>
                <w:numId w:val="4"/>
              </w:numPr>
            </w:pPr>
            <w:r w:rsidRPr="00864016">
              <w:t>Institutioner</w:t>
            </w:r>
          </w:p>
        </w:tc>
        <w:tc>
          <w:tcPr>
            <w:tcW w:w="0" w:type="auto"/>
            <w:shd w:val="clear" w:color="auto" w:fill="F8F8F8"/>
            <w:vAlign w:val="center"/>
            <w:hideMark/>
          </w:tcPr>
          <w:p w14:paraId="246BF348" w14:textId="77777777" w:rsidR="00864016" w:rsidRPr="00864016" w:rsidRDefault="00864016" w:rsidP="00864016"/>
        </w:tc>
      </w:tr>
    </w:tbl>
    <w:p w14:paraId="6C749E30" w14:textId="77777777" w:rsidR="00A74949" w:rsidRDefault="00A74949"/>
    <w:sectPr w:rsidR="00A7494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D04BC"/>
    <w:multiLevelType w:val="multilevel"/>
    <w:tmpl w:val="92E8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214329"/>
    <w:multiLevelType w:val="multilevel"/>
    <w:tmpl w:val="9824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23F61"/>
    <w:multiLevelType w:val="multilevel"/>
    <w:tmpl w:val="7810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DB6131"/>
    <w:multiLevelType w:val="multilevel"/>
    <w:tmpl w:val="D08C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215480">
    <w:abstractNumId w:val="1"/>
  </w:num>
  <w:num w:numId="2" w16cid:durableId="1019040807">
    <w:abstractNumId w:val="3"/>
  </w:num>
  <w:num w:numId="3" w16cid:durableId="1711221286">
    <w:abstractNumId w:val="2"/>
  </w:num>
  <w:num w:numId="4" w16cid:durableId="1242570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CBF"/>
    <w:rsid w:val="00864016"/>
    <w:rsid w:val="008E1CBF"/>
    <w:rsid w:val="00A74949"/>
    <w:rsid w:val="00AB4FAA"/>
    <w:rsid w:val="00D770DE"/>
    <w:rsid w:val="00F300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446B5"/>
  <w15:chartTrackingRefBased/>
  <w15:docId w15:val="{32B6B657-4454-4760-8133-3807D184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E1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E1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E1CB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E1CB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E1CB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E1CB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E1CB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E1CB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E1CB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E1CB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E1CB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E1CB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E1CB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E1CB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E1CB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E1CB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E1CB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E1CBF"/>
    <w:rPr>
      <w:rFonts w:eastAsiaTheme="majorEastAsia" w:cstheme="majorBidi"/>
      <w:color w:val="272727" w:themeColor="text1" w:themeTint="D8"/>
    </w:rPr>
  </w:style>
  <w:style w:type="paragraph" w:styleId="Titel">
    <w:name w:val="Title"/>
    <w:basedOn w:val="Normal"/>
    <w:next w:val="Normal"/>
    <w:link w:val="TitelTegn"/>
    <w:uiPriority w:val="10"/>
    <w:qFormat/>
    <w:rsid w:val="008E1C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E1CB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E1CB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E1CB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E1CB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E1CBF"/>
    <w:rPr>
      <w:i/>
      <w:iCs/>
      <w:color w:val="404040" w:themeColor="text1" w:themeTint="BF"/>
    </w:rPr>
  </w:style>
  <w:style w:type="paragraph" w:styleId="Listeafsnit">
    <w:name w:val="List Paragraph"/>
    <w:basedOn w:val="Normal"/>
    <w:uiPriority w:val="34"/>
    <w:qFormat/>
    <w:rsid w:val="008E1CBF"/>
    <w:pPr>
      <w:ind w:left="720"/>
      <w:contextualSpacing/>
    </w:pPr>
  </w:style>
  <w:style w:type="character" w:styleId="Kraftigfremhvning">
    <w:name w:val="Intense Emphasis"/>
    <w:basedOn w:val="Standardskrifttypeiafsnit"/>
    <w:uiPriority w:val="21"/>
    <w:qFormat/>
    <w:rsid w:val="008E1CBF"/>
    <w:rPr>
      <w:i/>
      <w:iCs/>
      <w:color w:val="0F4761" w:themeColor="accent1" w:themeShade="BF"/>
    </w:rPr>
  </w:style>
  <w:style w:type="paragraph" w:styleId="Strktcitat">
    <w:name w:val="Intense Quote"/>
    <w:basedOn w:val="Normal"/>
    <w:next w:val="Normal"/>
    <w:link w:val="StrktcitatTegn"/>
    <w:uiPriority w:val="30"/>
    <w:qFormat/>
    <w:rsid w:val="008E1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E1CBF"/>
    <w:rPr>
      <w:i/>
      <w:iCs/>
      <w:color w:val="0F4761" w:themeColor="accent1" w:themeShade="BF"/>
    </w:rPr>
  </w:style>
  <w:style w:type="character" w:styleId="Kraftighenvisning">
    <w:name w:val="Intense Reference"/>
    <w:basedOn w:val="Standardskrifttypeiafsnit"/>
    <w:uiPriority w:val="32"/>
    <w:qFormat/>
    <w:rsid w:val="008E1CBF"/>
    <w:rPr>
      <w:b/>
      <w:bCs/>
      <w:smallCaps/>
      <w:color w:val="0F4761" w:themeColor="accent1" w:themeShade="BF"/>
      <w:spacing w:val="5"/>
    </w:rPr>
  </w:style>
  <w:style w:type="character" w:styleId="Hyperlink">
    <w:name w:val="Hyperlink"/>
    <w:basedOn w:val="Standardskrifttypeiafsnit"/>
    <w:uiPriority w:val="99"/>
    <w:unhideWhenUsed/>
    <w:rsid w:val="00D770DE"/>
    <w:rPr>
      <w:color w:val="467886" w:themeColor="hyperlink"/>
      <w:u w:val="single"/>
    </w:rPr>
  </w:style>
  <w:style w:type="character" w:styleId="Ulstomtale">
    <w:name w:val="Unresolved Mention"/>
    <w:basedOn w:val="Standardskrifttypeiafsnit"/>
    <w:uiPriority w:val="99"/>
    <w:semiHidden/>
    <w:unhideWhenUsed/>
    <w:rsid w:val="00D77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istoriefagligarbejdsbog.systime.dk/?id=276"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602</Words>
  <Characters>3679</Characters>
  <Application>Microsoft Office Word</Application>
  <DocSecurity>0</DocSecurity>
  <Lines>30</Lines>
  <Paragraphs>8</Paragraphs>
  <ScaleCrop>false</ScaleCrop>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Gosvig Milling</dc:creator>
  <cp:keywords/>
  <dc:description/>
  <cp:lastModifiedBy>Lone Gosvig Milling</cp:lastModifiedBy>
  <cp:revision>4</cp:revision>
  <dcterms:created xsi:type="dcterms:W3CDTF">2025-10-20T14:35:00Z</dcterms:created>
  <dcterms:modified xsi:type="dcterms:W3CDTF">2025-10-20T14:39:00Z</dcterms:modified>
</cp:coreProperties>
</file>