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62321" w14:textId="64E31E6F" w:rsidR="00BE0F82" w:rsidRPr="00BE0F82" w:rsidRDefault="00D23C5A" w:rsidP="00BE0F82">
      <w:pPr>
        <w:pStyle w:val="Overskrift2"/>
      </w:pPr>
      <w:r w:rsidRPr="00BE0F82">
        <w:t>Økologisk udviklingsteori</w:t>
      </w:r>
      <w:r>
        <w:t xml:space="preserve"> -</w:t>
      </w:r>
      <w:r>
        <w:t xml:space="preserve"> </w:t>
      </w:r>
      <w:r w:rsidR="00BE0F82">
        <w:t xml:space="preserve">Uddrag fra </w:t>
      </w:r>
      <w:r>
        <w:t xml:space="preserve">afsnit </w:t>
      </w:r>
      <w:r w:rsidR="00BE0F82" w:rsidRPr="00BE0F82">
        <w:t xml:space="preserve">2.3.1 </w:t>
      </w:r>
      <w:r>
        <w:t>side 10-11</w:t>
      </w:r>
    </w:p>
    <w:p w14:paraId="7D3EA0A5" w14:textId="77777777" w:rsidR="00BE0F82" w:rsidRPr="00BE0F82" w:rsidRDefault="00BE0F82" w:rsidP="00BE0F82">
      <w:proofErr w:type="spellStart"/>
      <w:r w:rsidRPr="00BE0F82">
        <w:t>Urie</w:t>
      </w:r>
      <w:proofErr w:type="spellEnd"/>
      <w:r w:rsidRPr="00BE0F82">
        <w:t xml:space="preserve"> Bronfenbrenner har udviklet den økologiske udviklingsteori, hvor miljøet beskrives som cirkler, der indbyrdes er forbundet med hinanden og påvirker hinanden. Cirklerne er altid i bevægelse og influerer gensidigt hinanden.</w:t>
      </w:r>
    </w:p>
    <w:p w14:paraId="66A5DD37" w14:textId="77777777" w:rsidR="00BE0F82" w:rsidRPr="00BE0F82" w:rsidRDefault="00BE0F82" w:rsidP="00BE0F82">
      <w:r w:rsidRPr="00BE0F82">
        <w:t xml:space="preserve">Bronfenbrenner inddeler miljøet ud fra hvilken nærhed, det har til barnet, og beskriver, hvordan miljøet i den umiddelbare nærhed hænger sammen med det, som er længere væk. På baggrund af dette laver han et system, hvor han skelner mellem mikro, </w:t>
      </w:r>
      <w:proofErr w:type="spellStart"/>
      <w:r w:rsidRPr="00BE0F82">
        <w:t>meso</w:t>
      </w:r>
      <w:proofErr w:type="spellEnd"/>
      <w:r w:rsidRPr="00BE0F82">
        <w:t xml:space="preserve">, </w:t>
      </w:r>
      <w:proofErr w:type="spellStart"/>
      <w:r w:rsidRPr="00BE0F82">
        <w:t>ekso</w:t>
      </w:r>
      <w:proofErr w:type="spellEnd"/>
      <w:r w:rsidRPr="00BE0F82">
        <w:t xml:space="preserve">, makro samt </w:t>
      </w:r>
      <w:proofErr w:type="spellStart"/>
      <w:r w:rsidRPr="00BE0F82">
        <w:t>kronar</w:t>
      </w:r>
      <w:proofErr w:type="spellEnd"/>
      <w:r w:rsidRPr="00BE0F82">
        <w:t xml:space="preserve"> (tiden). Brugen af begrebet økologi skal fremhæve samspillets betydning.</w:t>
      </w:r>
    </w:p>
    <w:p w14:paraId="042469D1" w14:textId="630635DF" w:rsidR="00BE0F82" w:rsidRPr="00BE0F82" w:rsidRDefault="00BE0F82" w:rsidP="00BE0F82">
      <w:r w:rsidRPr="00BE0F82">
        <w:t xml:space="preserve">Udgangspunktet er, at selv før barnet er født, indgår det i relationer og påvirkes af det miljø, som det fødes ind i. Når barnet fødes, påvirkes det af forældrene, og forældrene på- virkes af barnet. Når barnet bliver ældre, udvides dette mønster og inddrager flere </w:t>
      </w:r>
      <w:proofErr w:type="spellStart"/>
      <w:r w:rsidRPr="00BE0F82">
        <w:t>relationssammenhænge</w:t>
      </w:r>
      <w:proofErr w:type="spellEnd"/>
      <w:r w:rsidRPr="00BE0F82">
        <w:t>. Barnet påvirker og bliver påvirket af disse sammenhænge/kontekster.</w:t>
      </w:r>
      <w:r>
        <w:t xml:space="preserve"> </w:t>
      </w:r>
      <w:r>
        <w:t>(…)</w:t>
      </w:r>
    </w:p>
    <w:p w14:paraId="3C797498" w14:textId="77777777" w:rsidR="00BE0F82" w:rsidRPr="00BE0F82" w:rsidRDefault="00BE0F82" w:rsidP="00BE0F82">
      <w:pPr>
        <w:rPr>
          <w:color w:val="215E99" w:themeColor="text2" w:themeTint="BF"/>
        </w:rPr>
      </w:pPr>
      <w:r w:rsidRPr="00BE0F82">
        <w:rPr>
          <w:i/>
          <w:iCs/>
          <w:color w:val="215E99" w:themeColor="text2" w:themeTint="BF"/>
        </w:rPr>
        <w:t xml:space="preserve">Det økologiske miljø </w:t>
      </w:r>
      <w:r w:rsidRPr="00BE0F82">
        <w:rPr>
          <w:color w:val="215E99" w:themeColor="text2" w:themeTint="BF"/>
        </w:rPr>
        <w:t>består således af fem systemer: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5"/>
        <w:gridCol w:w="6285"/>
      </w:tblGrid>
      <w:tr w:rsidR="00BE0F82" w:rsidRPr="00BE0F82" w14:paraId="4014323C" w14:textId="77777777" w:rsidTr="00BE0F82"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ACAD4" w14:textId="77777777" w:rsidR="00BE0F82" w:rsidRPr="00BE0F82" w:rsidRDefault="00BE0F82" w:rsidP="00BE0F82">
            <w:pPr>
              <w:rPr>
                <w:color w:val="215E99" w:themeColor="text2" w:themeTint="BF"/>
              </w:rPr>
            </w:pPr>
            <w:r w:rsidRPr="00BE0F82">
              <w:rPr>
                <w:i/>
                <w:iCs/>
                <w:color w:val="215E99" w:themeColor="text2" w:themeTint="BF"/>
              </w:rPr>
              <w:t xml:space="preserve">Mikrosystemet </w:t>
            </w: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3F829" w14:textId="77777777" w:rsidR="00BE0F82" w:rsidRPr="00BE0F82" w:rsidRDefault="00BE0F82" w:rsidP="00BE0F82">
            <w:pPr>
              <w:rPr>
                <w:color w:val="215E99" w:themeColor="text2" w:themeTint="BF"/>
              </w:rPr>
            </w:pPr>
            <w:r w:rsidRPr="00BE0F82">
              <w:rPr>
                <w:color w:val="215E99" w:themeColor="text2" w:themeTint="BF"/>
              </w:rPr>
              <w:t>De nære systemer, som barnet til daglig befinder sig i</w:t>
            </w:r>
          </w:p>
        </w:tc>
      </w:tr>
      <w:tr w:rsidR="00BE0F82" w:rsidRPr="00BE0F82" w14:paraId="6C3C5B77" w14:textId="77777777" w:rsidTr="00BE0F82"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7ECA7" w14:textId="77777777" w:rsidR="00BE0F82" w:rsidRPr="00BE0F82" w:rsidRDefault="00BE0F82" w:rsidP="00BE0F82">
            <w:pPr>
              <w:rPr>
                <w:color w:val="215E99" w:themeColor="text2" w:themeTint="BF"/>
              </w:rPr>
            </w:pPr>
            <w:r w:rsidRPr="00BE0F82">
              <w:rPr>
                <w:i/>
                <w:iCs/>
                <w:color w:val="215E99" w:themeColor="text2" w:themeTint="BF"/>
              </w:rPr>
              <w:t xml:space="preserve">Mesosystemet </w:t>
            </w: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EC019" w14:textId="77777777" w:rsidR="00BE0F82" w:rsidRPr="00BE0F82" w:rsidRDefault="00BE0F82" w:rsidP="00BE0F82">
            <w:pPr>
              <w:rPr>
                <w:color w:val="215E99" w:themeColor="text2" w:themeTint="BF"/>
              </w:rPr>
            </w:pPr>
            <w:r w:rsidRPr="00BE0F82">
              <w:rPr>
                <w:color w:val="215E99" w:themeColor="text2" w:themeTint="BF"/>
              </w:rPr>
              <w:t>Samspil og forbindelser mellem mikrosystemerne</w:t>
            </w:r>
          </w:p>
        </w:tc>
      </w:tr>
      <w:tr w:rsidR="00BE0F82" w:rsidRPr="00BE0F82" w14:paraId="6379FF1A" w14:textId="77777777" w:rsidTr="00BE0F82"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DE302" w14:textId="77777777" w:rsidR="00BE0F82" w:rsidRPr="00BE0F82" w:rsidRDefault="00BE0F82" w:rsidP="00BE0F82">
            <w:pPr>
              <w:rPr>
                <w:color w:val="215E99" w:themeColor="text2" w:themeTint="BF"/>
              </w:rPr>
            </w:pPr>
            <w:proofErr w:type="spellStart"/>
            <w:r w:rsidRPr="00BE0F82">
              <w:rPr>
                <w:i/>
                <w:iCs/>
                <w:color w:val="215E99" w:themeColor="text2" w:themeTint="BF"/>
              </w:rPr>
              <w:t>Eksosystemet</w:t>
            </w:r>
            <w:proofErr w:type="spellEnd"/>
            <w:r w:rsidRPr="00BE0F82">
              <w:rPr>
                <w:i/>
                <w:iCs/>
                <w:color w:val="215E99" w:themeColor="text2" w:themeTint="BF"/>
              </w:rPr>
              <w:t xml:space="preserve"> </w:t>
            </w: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AAA73" w14:textId="77777777" w:rsidR="00BE0F82" w:rsidRPr="00BE0F82" w:rsidRDefault="00BE0F82" w:rsidP="00BE0F82">
            <w:pPr>
              <w:rPr>
                <w:color w:val="215E99" w:themeColor="text2" w:themeTint="BF"/>
              </w:rPr>
            </w:pPr>
            <w:r w:rsidRPr="00BE0F82">
              <w:rPr>
                <w:color w:val="215E99" w:themeColor="text2" w:themeTint="BF"/>
              </w:rPr>
              <w:t>Miljøer, der indirekte kan påvirke mikro- og mesosystemet</w:t>
            </w:r>
          </w:p>
        </w:tc>
      </w:tr>
      <w:tr w:rsidR="00BE0F82" w:rsidRPr="00BE0F82" w14:paraId="3DE1D053" w14:textId="77777777" w:rsidTr="00BE0F82"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DBB91" w14:textId="77777777" w:rsidR="00BE0F82" w:rsidRDefault="00BE0F82" w:rsidP="00BE0F82">
            <w:pPr>
              <w:rPr>
                <w:i/>
                <w:iCs/>
                <w:color w:val="215E99" w:themeColor="text2" w:themeTint="BF"/>
              </w:rPr>
            </w:pPr>
            <w:proofErr w:type="spellStart"/>
            <w:r w:rsidRPr="00BE0F82">
              <w:rPr>
                <w:i/>
                <w:iCs/>
                <w:color w:val="215E99" w:themeColor="text2" w:themeTint="BF"/>
              </w:rPr>
              <w:t>Makrosystemet</w:t>
            </w:r>
            <w:proofErr w:type="spellEnd"/>
            <w:r w:rsidRPr="00BE0F82">
              <w:rPr>
                <w:i/>
                <w:iCs/>
                <w:color w:val="215E99" w:themeColor="text2" w:themeTint="BF"/>
              </w:rPr>
              <w:t xml:space="preserve"> </w:t>
            </w:r>
          </w:p>
          <w:p w14:paraId="5A3C7610" w14:textId="44EB6064" w:rsidR="00BE0F82" w:rsidRPr="00BE0F82" w:rsidRDefault="00BE0F82" w:rsidP="00BE0F82">
            <w:pPr>
              <w:rPr>
                <w:color w:val="215E99" w:themeColor="text2" w:themeTint="BF"/>
              </w:rPr>
            </w:pPr>
            <w:proofErr w:type="spellStart"/>
            <w:r w:rsidRPr="00BE0F82">
              <w:rPr>
                <w:i/>
                <w:iCs/>
                <w:color w:val="215E99" w:themeColor="text2" w:themeTint="BF"/>
              </w:rPr>
              <w:t>Kronar</w:t>
            </w:r>
            <w:proofErr w:type="spellEnd"/>
            <w:r w:rsidRPr="00BE0F82">
              <w:rPr>
                <w:i/>
                <w:iCs/>
                <w:color w:val="215E99" w:themeColor="text2" w:themeTint="BF"/>
              </w:rPr>
              <w:t xml:space="preserve">- (tids-)systemet </w:t>
            </w: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B9410" w14:textId="77777777" w:rsidR="00BE0F82" w:rsidRDefault="00BE0F82" w:rsidP="00BE0F82">
            <w:pPr>
              <w:rPr>
                <w:color w:val="215E99" w:themeColor="text2" w:themeTint="BF"/>
              </w:rPr>
            </w:pPr>
            <w:r w:rsidRPr="00BE0F82">
              <w:rPr>
                <w:color w:val="215E99" w:themeColor="text2" w:themeTint="BF"/>
              </w:rPr>
              <w:t>Politiske og kulturelle forhold, sociale organisationer</w:t>
            </w:r>
          </w:p>
          <w:p w14:paraId="5C8A3A0C" w14:textId="19716EFD" w:rsidR="00BE0F82" w:rsidRPr="00BE0F82" w:rsidRDefault="00BE0F82" w:rsidP="00BE0F82">
            <w:pPr>
              <w:rPr>
                <w:color w:val="215E99" w:themeColor="text2" w:themeTint="BF"/>
              </w:rPr>
            </w:pPr>
            <w:r w:rsidRPr="00BE0F82">
              <w:rPr>
                <w:color w:val="215E99" w:themeColor="text2" w:themeTint="BF"/>
              </w:rPr>
              <w:t>Generation, historisk og personlig tidslinje</w:t>
            </w:r>
          </w:p>
        </w:tc>
      </w:tr>
    </w:tbl>
    <w:p w14:paraId="1B01E48F" w14:textId="77777777" w:rsidR="00BE0F82" w:rsidRPr="00BE0F82" w:rsidRDefault="00BE0F82" w:rsidP="00BE0F82">
      <w:r w:rsidRPr="00BE0F82">
        <w:rPr>
          <w:i/>
          <w:iCs/>
          <w:color w:val="215E99" w:themeColor="text2" w:themeTint="BF"/>
        </w:rPr>
        <w:t xml:space="preserve">Mikrosystemet </w:t>
      </w:r>
      <w:r w:rsidRPr="00BE0F82">
        <w:t>eller ”ansigt til ansigt-relationer” refererer til det konkrete udviklingsmiljø, hvor barnet gør sine erfaringer sammen med andre og skaber et billede af sig selv og sin omverden.</w:t>
      </w:r>
    </w:p>
    <w:p w14:paraId="32AA04B6" w14:textId="77777777" w:rsidR="00BE0F82" w:rsidRPr="00BE0F82" w:rsidRDefault="00BE0F82" w:rsidP="00BE0F82">
      <w:r w:rsidRPr="00BE0F82">
        <w:t>Barnets relation til andre personer – eksempelvis forældrene – er et eksempel på et mikrosystem; relationen mellem barnet og de andre børn i klassen på skolen et andet; de relationer, som barnet har til vennerne i det nære lokalmiljø, et tredje. Hvert af disse mikromiljøer har deres specifikke aktiviteter. Mikrosystemet er der, hvor barnet selv direkte indgår i et samspil/en interaktion med andre – der, hvor barnet er til stede. Mikrosystemet kan desuden afgrænses fysisk, hvilket ikke er så enkelt for de andre systemer.</w:t>
      </w:r>
    </w:p>
    <w:p w14:paraId="3F838DE3" w14:textId="3D30E092" w:rsidR="00BE0F82" w:rsidRPr="00BE0F82" w:rsidRDefault="00BE0F82" w:rsidP="00BE0F82">
      <w:r w:rsidRPr="00BE0F82">
        <w:rPr>
          <w:i/>
          <w:iCs/>
          <w:color w:val="215E99" w:themeColor="text2" w:themeTint="BF"/>
        </w:rPr>
        <w:t xml:space="preserve">Mesosystemet </w:t>
      </w:r>
      <w:r w:rsidRPr="00BE0F82">
        <w:t>er interaktionen mellem det nære miljøs mikrosystemer, det omfatter forbindelserne mellem to eller flere mikrosystemer, som barnet er aktiv deltager i. Samspillet mellem mikrosystemerne, fx mellem skole og hjem – barnet, forældre og skole – er afgørende for forståelsen af forbindelseslinjerne mellem mikrosystemerne: mesosystemet.</w:t>
      </w:r>
    </w:p>
    <w:p w14:paraId="34E71A27" w14:textId="77777777" w:rsidR="00BE0F82" w:rsidRPr="00BE0F82" w:rsidRDefault="00BE0F82" w:rsidP="00BE0F82">
      <w:proofErr w:type="spellStart"/>
      <w:r w:rsidRPr="00BE0F82">
        <w:rPr>
          <w:i/>
          <w:iCs/>
          <w:color w:val="215E99" w:themeColor="text2" w:themeTint="BF"/>
        </w:rPr>
        <w:t>Eksosystemet</w:t>
      </w:r>
      <w:proofErr w:type="spellEnd"/>
      <w:r w:rsidRPr="00BE0F82">
        <w:rPr>
          <w:i/>
          <w:iCs/>
          <w:color w:val="215E99" w:themeColor="text2" w:themeTint="BF"/>
        </w:rPr>
        <w:t xml:space="preserve"> </w:t>
      </w:r>
      <w:r w:rsidRPr="00BE0F82">
        <w:t xml:space="preserve">består af forbindelser og processer, der finder sted mellem to eller flere miljøer, som indirekte påvirker processer i et miljø, barnet indgår i. </w:t>
      </w:r>
      <w:proofErr w:type="spellStart"/>
      <w:r w:rsidRPr="00BE0F82">
        <w:t>Eksosystemet</w:t>
      </w:r>
      <w:proofErr w:type="spellEnd"/>
      <w:r w:rsidRPr="00BE0F82">
        <w:t xml:space="preserve"> er der, hvor barnet ikke selv er til stede, eksempelvis forældrenes arbejdsplads, </w:t>
      </w:r>
      <w:proofErr w:type="spellStart"/>
      <w:r w:rsidRPr="00BE0F82">
        <w:t>mødregruppen</w:t>
      </w:r>
      <w:proofErr w:type="spellEnd"/>
      <w:r w:rsidRPr="00BE0F82">
        <w:t xml:space="preserve"> og forvaltningens møde om barnet.</w:t>
      </w:r>
    </w:p>
    <w:p w14:paraId="2A2275D1" w14:textId="77777777" w:rsidR="00BE0F82" w:rsidRDefault="00BE0F82" w:rsidP="00BE0F82">
      <w:r w:rsidRPr="00BE0F82">
        <w:t xml:space="preserve">For at kunne tillægge </w:t>
      </w:r>
      <w:proofErr w:type="spellStart"/>
      <w:r w:rsidRPr="00BE0F82">
        <w:t>eksosystemet</w:t>
      </w:r>
      <w:proofErr w:type="spellEnd"/>
      <w:r w:rsidRPr="00BE0F82">
        <w:t xml:space="preserve"> udviklingsmæssig betydning må vi kunne:</w:t>
      </w:r>
    </w:p>
    <w:p w14:paraId="260FD880" w14:textId="77777777" w:rsidR="00BE0F82" w:rsidRDefault="00BE0F82" w:rsidP="00BE0F82">
      <w:pPr>
        <w:pStyle w:val="Listeafsnit"/>
        <w:numPr>
          <w:ilvl w:val="0"/>
          <w:numId w:val="1"/>
        </w:numPr>
      </w:pPr>
      <w:r w:rsidRPr="00BE0F82">
        <w:t xml:space="preserve">knytte begivenheder i </w:t>
      </w:r>
      <w:proofErr w:type="spellStart"/>
      <w:r w:rsidRPr="00BE0F82">
        <w:t>eksosystemet</w:t>
      </w:r>
      <w:proofErr w:type="spellEnd"/>
      <w:r w:rsidRPr="00BE0F82">
        <w:t xml:space="preserve"> til processer i barnets mikrosystem</w:t>
      </w:r>
    </w:p>
    <w:p w14:paraId="20E31818" w14:textId="0973444C" w:rsidR="00BE0F82" w:rsidRPr="00BE0F82" w:rsidRDefault="00BE0F82" w:rsidP="00BE0F82">
      <w:pPr>
        <w:pStyle w:val="Listeafsnit"/>
        <w:numPr>
          <w:ilvl w:val="0"/>
          <w:numId w:val="1"/>
        </w:numPr>
      </w:pPr>
      <w:r w:rsidRPr="00BE0F82">
        <w:t>forbinde disse processer med udviklingsmæssige forandringer hos barnet</w:t>
      </w:r>
    </w:p>
    <w:p w14:paraId="432026F6" w14:textId="77777777" w:rsidR="00BE0F82" w:rsidRPr="00BE0F82" w:rsidRDefault="00BE0F82" w:rsidP="00BE0F82">
      <w:proofErr w:type="spellStart"/>
      <w:r w:rsidRPr="00BE0F82">
        <w:rPr>
          <w:i/>
          <w:iCs/>
          <w:color w:val="215E99" w:themeColor="text2" w:themeTint="BF"/>
        </w:rPr>
        <w:lastRenderedPageBreak/>
        <w:t>Makrosystemet</w:t>
      </w:r>
      <w:proofErr w:type="spellEnd"/>
      <w:r w:rsidRPr="00BE0F82">
        <w:rPr>
          <w:i/>
          <w:iCs/>
        </w:rPr>
        <w:t xml:space="preserve"> </w:t>
      </w:r>
      <w:r w:rsidRPr="00BE0F82">
        <w:t xml:space="preserve">er et overordnet system, som barnet både kan indgå i og påvirkes af. </w:t>
      </w:r>
      <w:proofErr w:type="spellStart"/>
      <w:r w:rsidRPr="00BE0F82">
        <w:t>Makrosystemet</w:t>
      </w:r>
      <w:proofErr w:type="spellEnd"/>
      <w:r w:rsidRPr="00BE0F82">
        <w:t xml:space="preserve"> er ikke et system, der omgiver de andre systemer – det gennemsyrer eller overrisler alle de øvrige systemers processer. Eksempelvis børnepolitikken, kulturen, børnekonventionen. </w:t>
      </w:r>
      <w:proofErr w:type="spellStart"/>
      <w:r w:rsidRPr="00BE0F82">
        <w:t>Makrosystemet</w:t>
      </w:r>
      <w:proofErr w:type="spellEnd"/>
      <w:r w:rsidRPr="00BE0F82">
        <w:t xml:space="preserve"> repræsenterer således de overordnede institutionelle og organisatoriske forhold, politiske systemer, lovgivningen m.v.</w:t>
      </w:r>
    </w:p>
    <w:p w14:paraId="438387D4" w14:textId="77777777" w:rsidR="00BE0F82" w:rsidRPr="00BE0F82" w:rsidRDefault="00BE0F82" w:rsidP="00BE0F82">
      <w:proofErr w:type="spellStart"/>
      <w:r w:rsidRPr="00BE0F82">
        <w:rPr>
          <w:i/>
          <w:iCs/>
          <w:color w:val="215E99" w:themeColor="text2" w:themeTint="BF"/>
        </w:rPr>
        <w:t>Kronarsystemet</w:t>
      </w:r>
      <w:proofErr w:type="spellEnd"/>
      <w:r w:rsidRPr="00BE0F82">
        <w:rPr>
          <w:i/>
          <w:iCs/>
        </w:rPr>
        <w:t xml:space="preserve"> </w:t>
      </w:r>
      <w:r w:rsidRPr="00BE0F82">
        <w:t>(tiden) refererer til forandringer over tid, udtrykt som udviklingstid, historisk tid og generationsværdier. Der arbejdes med tre tidslinjer: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6510"/>
      </w:tblGrid>
      <w:tr w:rsidR="00BE0F82" w:rsidRPr="00BE0F82" w14:paraId="21EE34BC" w14:textId="77777777" w:rsidTr="00BE0F82">
        <w:tc>
          <w:tcPr>
            <w:tcW w:w="2580" w:type="dxa"/>
            <w:vAlign w:val="center"/>
            <w:hideMark/>
          </w:tcPr>
          <w:p w14:paraId="0A0A169C" w14:textId="77777777" w:rsidR="00BE0F82" w:rsidRPr="00BE0F82" w:rsidRDefault="00BE0F82" w:rsidP="00BE0F82">
            <w:pPr>
              <w:rPr>
                <w:i/>
                <w:iCs/>
                <w:color w:val="215E99" w:themeColor="text2" w:themeTint="BF"/>
                <w:lang w:val="nb-NO"/>
              </w:rPr>
            </w:pPr>
            <w:r w:rsidRPr="00BE0F82">
              <w:rPr>
                <w:i/>
                <w:iCs/>
                <w:color w:val="215E99" w:themeColor="text2" w:themeTint="BF"/>
                <w:lang w:val="nb-NO"/>
              </w:rPr>
              <w:t xml:space="preserve">En personlig tidslinje </w:t>
            </w:r>
          </w:p>
          <w:p w14:paraId="104F0D7B" w14:textId="77777777" w:rsidR="00BE0F82" w:rsidRPr="00BE0F82" w:rsidRDefault="00BE0F82" w:rsidP="00BE0F82">
            <w:pPr>
              <w:rPr>
                <w:i/>
                <w:iCs/>
                <w:color w:val="215E99" w:themeColor="text2" w:themeTint="BF"/>
                <w:lang w:val="nb-NO"/>
              </w:rPr>
            </w:pPr>
            <w:r w:rsidRPr="00BE0F82">
              <w:rPr>
                <w:i/>
                <w:iCs/>
                <w:color w:val="215E99" w:themeColor="text2" w:themeTint="BF"/>
                <w:lang w:val="nb-NO"/>
              </w:rPr>
              <w:t>En generationslinje</w:t>
            </w:r>
          </w:p>
          <w:p w14:paraId="27FEAF67" w14:textId="721D5352" w:rsidR="00BE0F82" w:rsidRPr="00BE0F82" w:rsidRDefault="00BE0F82" w:rsidP="00BE0F82">
            <w:pPr>
              <w:rPr>
                <w:color w:val="215E99" w:themeColor="text2" w:themeTint="BF"/>
                <w:lang w:val="nb-NO"/>
              </w:rPr>
            </w:pPr>
            <w:r w:rsidRPr="00BE0F82">
              <w:rPr>
                <w:i/>
                <w:iCs/>
                <w:color w:val="215E99" w:themeColor="text2" w:themeTint="BF"/>
                <w:lang w:val="nb-NO"/>
              </w:rPr>
              <w:t xml:space="preserve">En historisk tidslinje </w:t>
            </w:r>
          </w:p>
        </w:tc>
        <w:tc>
          <w:tcPr>
            <w:tcW w:w="6510" w:type="dxa"/>
            <w:vAlign w:val="center"/>
            <w:hideMark/>
          </w:tcPr>
          <w:p w14:paraId="0912CB07" w14:textId="77777777" w:rsidR="00BE0F82" w:rsidRPr="00BE0F82" w:rsidRDefault="00BE0F82" w:rsidP="00BE0F82">
            <w:pPr>
              <w:rPr>
                <w:color w:val="215E99" w:themeColor="text2" w:themeTint="BF"/>
              </w:rPr>
            </w:pPr>
            <w:r w:rsidRPr="00BE0F82">
              <w:rPr>
                <w:color w:val="215E99" w:themeColor="text2" w:themeTint="BF"/>
              </w:rPr>
              <w:t xml:space="preserve">Udviklingen i en persons livsforløb fra fødsel til død </w:t>
            </w:r>
          </w:p>
          <w:p w14:paraId="6C9486DA" w14:textId="77777777" w:rsidR="00BE0F82" w:rsidRPr="00BE0F82" w:rsidRDefault="00BE0F82" w:rsidP="00BE0F82">
            <w:pPr>
              <w:rPr>
                <w:color w:val="215E99" w:themeColor="text2" w:themeTint="BF"/>
              </w:rPr>
            </w:pPr>
            <w:r w:rsidRPr="00BE0F82">
              <w:rPr>
                <w:color w:val="215E99" w:themeColor="text2" w:themeTint="BF"/>
              </w:rPr>
              <w:t>Personens placering i forhold til generationerne (før/efter)</w:t>
            </w:r>
          </w:p>
          <w:p w14:paraId="709BBEA8" w14:textId="31037461" w:rsidR="00BE0F82" w:rsidRPr="00BE0F82" w:rsidRDefault="00BE0F82" w:rsidP="00BE0F82">
            <w:pPr>
              <w:rPr>
                <w:color w:val="215E99" w:themeColor="text2" w:themeTint="BF"/>
              </w:rPr>
            </w:pPr>
            <w:r w:rsidRPr="00BE0F82">
              <w:rPr>
                <w:color w:val="215E99" w:themeColor="text2" w:themeTint="BF"/>
              </w:rPr>
              <w:t>Personens livsløb sat ind i en historisk epoke</w:t>
            </w:r>
          </w:p>
        </w:tc>
      </w:tr>
    </w:tbl>
    <w:p w14:paraId="51B57898" w14:textId="4A69D3F5" w:rsidR="00BE0F82" w:rsidRDefault="00BE0F82" w:rsidP="00BE0F82">
      <w:r w:rsidRPr="00BE0F82">
        <w:t>De fem systemer, der indgår i modellen, danner rammen om at beskrive og analysere barnets opvækst i et foranderligt miljø/samfund, samtidig med at den lægger vægt på helheden og sammenhængen i udviklingen</w:t>
      </w:r>
    </w:p>
    <w:p w14:paraId="6B73A157" w14:textId="1CDE9529" w:rsidR="00BE0F82" w:rsidRPr="00BE0F82" w:rsidRDefault="00BE0F82" w:rsidP="00BE0F82">
      <w:hyperlink r:id="rId5" w:history="1">
        <w:r w:rsidRPr="00BE0F82">
          <w:rPr>
            <w:rStyle w:val="Hyperlink"/>
          </w:rPr>
          <w:t>https://viden.sl.dk/media/5318/barnets-velfaerd-i-centrum.pdf</w:t>
        </w:r>
      </w:hyperlink>
      <w:r w:rsidRPr="00BE0F82">
        <w:t xml:space="preserve"> s. </w:t>
      </w:r>
    </w:p>
    <w:p w14:paraId="5D61CFD8" w14:textId="77777777" w:rsidR="00BE0F82" w:rsidRPr="00BE0F82" w:rsidRDefault="00BE0F82" w:rsidP="00BE0F82"/>
    <w:p w14:paraId="3E016E76" w14:textId="43A89EFB" w:rsidR="00BE0F82" w:rsidRDefault="00BE0F82" w:rsidP="00BE0F82">
      <w:r>
        <w:rPr>
          <w:noProof/>
        </w:rPr>
        <w:drawing>
          <wp:inline distT="0" distB="0" distL="0" distR="0" wp14:anchorId="1769D7EB" wp14:editId="7518635B">
            <wp:extent cx="4610100" cy="4648200"/>
            <wp:effectExtent l="0" t="0" r="0" b="0"/>
            <wp:docPr id="797806283" name="Billede 1" descr="bronfenbrenner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onfenbrenner-mode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8D521" w14:textId="2D65ECAB" w:rsidR="00BE0F82" w:rsidRPr="00D23C5A" w:rsidRDefault="00BE0F82" w:rsidP="00BE0F82">
      <w:pPr>
        <w:rPr>
          <w:lang w:val="en-US"/>
        </w:rPr>
      </w:pPr>
      <w:hyperlink r:id="rId7" w:history="1">
        <w:r w:rsidRPr="00D23C5A">
          <w:rPr>
            <w:rStyle w:val="Hyperlink"/>
            <w:lang w:val="en-US"/>
          </w:rPr>
          <w:t>https://estudie.no/samfunnsmessige-forhold-forbrukeratferden/</w:t>
        </w:r>
      </w:hyperlink>
      <w:r w:rsidR="00D23C5A" w:rsidRPr="00D23C5A">
        <w:rPr>
          <w:lang w:val="en-US"/>
        </w:rPr>
        <w:t xml:space="preserve"> (</w:t>
      </w:r>
      <w:r w:rsidR="00D23C5A">
        <w:rPr>
          <w:lang w:val="en-US"/>
        </w:rPr>
        <w:t>figure-</w:t>
      </w:r>
      <w:proofErr w:type="spellStart"/>
      <w:r w:rsidR="00D23C5A">
        <w:rPr>
          <w:lang w:val="en-US"/>
        </w:rPr>
        <w:t>kilde</w:t>
      </w:r>
      <w:proofErr w:type="spellEnd"/>
      <w:r w:rsidR="00D23C5A">
        <w:rPr>
          <w:lang w:val="en-US"/>
        </w:rPr>
        <w:t>)</w:t>
      </w:r>
    </w:p>
    <w:sectPr w:rsidR="00BE0F82" w:rsidRPr="00D23C5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A32E25"/>
    <w:multiLevelType w:val="hybridMultilevel"/>
    <w:tmpl w:val="E32A81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71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82"/>
    <w:rsid w:val="00844A30"/>
    <w:rsid w:val="009568AB"/>
    <w:rsid w:val="00BE0F82"/>
    <w:rsid w:val="00D23C5A"/>
    <w:rsid w:val="00D908BC"/>
    <w:rsid w:val="00F9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C969"/>
  <w15:chartTrackingRefBased/>
  <w15:docId w15:val="{AC5C5293-9B00-43F5-8BDD-980CA560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E0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E0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E0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E0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E0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E0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E0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E0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E0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E0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E0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E0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E0F8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E0F8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E0F8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E0F8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E0F8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E0F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E0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E0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E0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E0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E0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E0F8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E0F8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E0F8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E0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E0F8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E0F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E0F82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E0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9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tudie.no/samfunnsmessige-forhold-forbrukeratferd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viden.sl.dk/media/5318/barnets-velfaerd-i-centrum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Iben Skall Rønbøg</dc:creator>
  <cp:keywords/>
  <dc:description/>
  <cp:lastModifiedBy>Iben Skall Rønbøg</cp:lastModifiedBy>
  <cp:revision>2</cp:revision>
  <dcterms:created xsi:type="dcterms:W3CDTF">2024-11-24T16:46:00Z</dcterms:created>
  <dcterms:modified xsi:type="dcterms:W3CDTF">2024-11-24T17:04:00Z</dcterms:modified>
</cp:coreProperties>
</file>