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7711" w14:textId="37D98293" w:rsidR="00CA3C61" w:rsidRDefault="00CA3C61" w:rsidP="009A647C">
      <w:pPr>
        <w:shd w:val="clear" w:color="auto" w:fill="FFFFFF"/>
        <w:spacing w:after="0" w:line="240" w:lineRule="atLeast"/>
        <w:textAlignment w:val="baseline"/>
        <w:outlineLvl w:val="1"/>
        <w:rPr>
          <w:rFonts w:ascii="Open Sans" w:eastAsia="Times New Roman" w:hAnsi="Open Sans" w:cs="Open Sans"/>
          <w:b/>
          <w:bCs/>
          <w:color w:val="999999"/>
          <w:kern w:val="0"/>
          <w:sz w:val="30"/>
          <w:szCs w:val="30"/>
          <w:bdr w:val="none" w:sz="0" w:space="0" w:color="auto" w:frame="1"/>
          <w:lang w:eastAsia="da-DK"/>
          <w14:ligatures w14:val="none"/>
        </w:rPr>
      </w:pPr>
      <w:r>
        <w:rPr>
          <w:rFonts w:ascii="Open Sans" w:eastAsia="Times New Roman" w:hAnsi="Open Sans" w:cs="Open Sans"/>
          <w:b/>
          <w:bCs/>
          <w:color w:val="999999"/>
          <w:kern w:val="0"/>
          <w:sz w:val="30"/>
          <w:szCs w:val="30"/>
          <w:bdr w:val="none" w:sz="0" w:space="0" w:color="auto" w:frame="1"/>
          <w:lang w:eastAsia="da-DK"/>
          <w14:ligatures w14:val="none"/>
        </w:rPr>
        <w:t xml:space="preserve">EKSAMEN I MUSIK, </w:t>
      </w:r>
      <w:proofErr w:type="gramStart"/>
      <w:r>
        <w:rPr>
          <w:rFonts w:ascii="Open Sans" w:eastAsia="Times New Roman" w:hAnsi="Open Sans" w:cs="Open Sans"/>
          <w:b/>
          <w:bCs/>
          <w:color w:val="999999"/>
          <w:kern w:val="0"/>
          <w:sz w:val="30"/>
          <w:szCs w:val="30"/>
          <w:bdr w:val="none" w:sz="0" w:space="0" w:color="auto" w:frame="1"/>
          <w:lang w:eastAsia="da-DK"/>
          <w14:ligatures w14:val="none"/>
        </w:rPr>
        <w:t>Januar</w:t>
      </w:r>
      <w:proofErr w:type="gramEnd"/>
      <w:r>
        <w:rPr>
          <w:rFonts w:ascii="Open Sans" w:eastAsia="Times New Roman" w:hAnsi="Open Sans" w:cs="Open Sans"/>
          <w:b/>
          <w:bCs/>
          <w:color w:val="999999"/>
          <w:kern w:val="0"/>
          <w:sz w:val="30"/>
          <w:szCs w:val="30"/>
          <w:bdr w:val="none" w:sz="0" w:space="0" w:color="auto" w:frame="1"/>
          <w:lang w:eastAsia="da-DK"/>
          <w14:ligatures w14:val="none"/>
        </w:rPr>
        <w:t xml:space="preserve"> 2026</w:t>
      </w:r>
    </w:p>
    <w:p w14:paraId="10F46AAE" w14:textId="77777777" w:rsidR="00CA3C61" w:rsidRDefault="00CA3C61" w:rsidP="009A647C">
      <w:pPr>
        <w:shd w:val="clear" w:color="auto" w:fill="FFFFFF"/>
        <w:spacing w:after="0" w:line="240" w:lineRule="atLeast"/>
        <w:textAlignment w:val="baseline"/>
        <w:outlineLvl w:val="1"/>
        <w:rPr>
          <w:rFonts w:ascii="Open Sans" w:eastAsia="Times New Roman" w:hAnsi="Open Sans" w:cs="Open Sans"/>
          <w:b/>
          <w:bCs/>
          <w:color w:val="999999"/>
          <w:kern w:val="0"/>
          <w:sz w:val="30"/>
          <w:szCs w:val="30"/>
          <w:bdr w:val="none" w:sz="0" w:space="0" w:color="auto" w:frame="1"/>
          <w:lang w:eastAsia="da-DK"/>
          <w14:ligatures w14:val="none"/>
        </w:rPr>
      </w:pPr>
    </w:p>
    <w:p w14:paraId="404C0C17" w14:textId="389F4B60" w:rsidR="009A647C" w:rsidRPr="009A647C" w:rsidRDefault="009A647C" w:rsidP="009A647C">
      <w:pPr>
        <w:shd w:val="clear" w:color="auto" w:fill="FFFFFF"/>
        <w:spacing w:after="0" w:line="240" w:lineRule="atLeast"/>
        <w:textAlignment w:val="baseline"/>
        <w:outlineLvl w:val="1"/>
        <w:rPr>
          <w:rFonts w:ascii="Open Sans" w:eastAsia="Times New Roman" w:hAnsi="Open Sans" w:cs="Open Sans"/>
          <w:b/>
          <w:bCs/>
          <w:color w:val="1B1B1B"/>
          <w:kern w:val="0"/>
          <w:sz w:val="30"/>
          <w:szCs w:val="30"/>
          <w:lang w:eastAsia="da-DK"/>
          <w14:ligatures w14:val="none"/>
        </w:rPr>
      </w:pPr>
      <w:r w:rsidRPr="009A647C">
        <w:rPr>
          <w:rFonts w:ascii="Open Sans" w:eastAsia="Times New Roman" w:hAnsi="Open Sans" w:cs="Open Sans"/>
          <w:b/>
          <w:bCs/>
          <w:color w:val="999999"/>
          <w:kern w:val="0"/>
          <w:sz w:val="30"/>
          <w:szCs w:val="30"/>
          <w:bdr w:val="none" w:sz="0" w:space="0" w:color="auto" w:frame="1"/>
          <w:lang w:eastAsia="da-DK"/>
          <w14:ligatures w14:val="none"/>
        </w:rPr>
        <w:t>1.</w:t>
      </w:r>
      <w:r w:rsidRPr="009A647C">
        <w:rPr>
          <w:rFonts w:ascii="Open Sans" w:eastAsia="Times New Roman" w:hAnsi="Open Sans" w:cs="Open Sans"/>
          <w:b/>
          <w:bCs/>
          <w:color w:val="1B1B1B"/>
          <w:kern w:val="0"/>
          <w:sz w:val="30"/>
          <w:szCs w:val="30"/>
          <w:lang w:eastAsia="da-DK"/>
          <w14:ligatures w14:val="none"/>
        </w:rPr>
        <w:t> Prøveform</w:t>
      </w:r>
    </w:p>
    <w:p w14:paraId="4078A174"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Den mundtlige prøve består af en delprøve i musikkundskab og en delprøve i musikudøvelse.</w:t>
      </w:r>
    </w:p>
    <w:p w14:paraId="6ED6A379" w14:textId="77777777" w:rsidR="009A647C" w:rsidRPr="009A647C" w:rsidRDefault="009A647C" w:rsidP="009A647C">
      <w:pPr>
        <w:shd w:val="clear" w:color="auto" w:fill="FFFFFF"/>
        <w:spacing w:after="0" w:line="240" w:lineRule="auto"/>
        <w:textAlignment w:val="baseline"/>
        <w:outlineLvl w:val="2"/>
        <w:rPr>
          <w:rFonts w:ascii="Open Sans" w:eastAsia="Times New Roman" w:hAnsi="Open Sans" w:cs="Open Sans"/>
          <w:b/>
          <w:bCs/>
          <w:color w:val="1B1B1B"/>
          <w:kern w:val="0"/>
          <w:sz w:val="27"/>
          <w:szCs w:val="27"/>
          <w:lang w:eastAsia="da-DK"/>
          <w14:ligatures w14:val="none"/>
        </w:rPr>
      </w:pPr>
      <w:r w:rsidRPr="009A647C">
        <w:rPr>
          <w:rFonts w:ascii="Open Sans" w:eastAsia="Times New Roman" w:hAnsi="Open Sans" w:cs="Open Sans"/>
          <w:b/>
          <w:bCs/>
          <w:color w:val="1B1B1B"/>
          <w:kern w:val="0"/>
          <w:sz w:val="27"/>
          <w:szCs w:val="27"/>
          <w:lang w:eastAsia="da-DK"/>
          <w14:ligatures w14:val="none"/>
        </w:rPr>
        <w:t>Musikkundskab</w:t>
      </w:r>
    </w:p>
    <w:p w14:paraId="3B4A4BF9"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Ved prøven i musikkundskab skal du </w:t>
      </w:r>
      <w:proofErr w:type="gramStart"/>
      <w:r w:rsidRPr="009A647C">
        <w:rPr>
          <w:rFonts w:ascii="Open Sans" w:eastAsia="Times New Roman" w:hAnsi="Open Sans" w:cs="Open Sans"/>
          <w:color w:val="1B1B1B"/>
          <w:kern w:val="0"/>
          <w:sz w:val="23"/>
          <w:szCs w:val="23"/>
          <w:lang w:eastAsia="da-DK"/>
          <w14:ligatures w14:val="none"/>
        </w:rPr>
        <w:t>foretage en analyse af</w:t>
      </w:r>
      <w:proofErr w:type="gramEnd"/>
      <w:r w:rsidRPr="009A647C">
        <w:rPr>
          <w:rFonts w:ascii="Open Sans" w:eastAsia="Times New Roman" w:hAnsi="Open Sans" w:cs="Open Sans"/>
          <w:color w:val="1B1B1B"/>
          <w:kern w:val="0"/>
          <w:sz w:val="23"/>
          <w:szCs w:val="23"/>
          <w:lang w:eastAsia="da-DK"/>
          <w14:ligatures w14:val="none"/>
        </w:rPr>
        <w:t xml:space="preserve"> musik kendt fra undervisningen. Prøven tager primært udgangspunkt i din mundtlige analysegennemgang, sekundært i uddybende spørgsmål fra censor og eksaminator.</w:t>
      </w:r>
    </w:p>
    <w:p w14:paraId="2C516267"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Prøvematerialet består af et eller flere musikstykker (af sammenlagt højest 6 minutters varighed) med tilknytning til det særligt studerede område, I har arbejdet med i slutningen af skoleåret. Musikstykket eller musikstykkerne er ledsaget af en grafisk gengivelse (noder, becifringer, </w:t>
      </w:r>
      <w:proofErr w:type="spellStart"/>
      <w:r w:rsidRPr="009A647C">
        <w:rPr>
          <w:rFonts w:ascii="Open Sans" w:eastAsia="Times New Roman" w:hAnsi="Open Sans" w:cs="Open Sans"/>
          <w:color w:val="1B1B1B"/>
          <w:kern w:val="0"/>
          <w:sz w:val="23"/>
          <w:szCs w:val="23"/>
          <w:lang w:eastAsia="da-DK"/>
          <w14:ligatures w14:val="none"/>
        </w:rPr>
        <w:t>grooveskema</w:t>
      </w:r>
      <w:proofErr w:type="spellEnd"/>
      <w:r w:rsidRPr="009A647C">
        <w:rPr>
          <w:rFonts w:ascii="Open Sans" w:eastAsia="Times New Roman" w:hAnsi="Open Sans" w:cs="Open Sans"/>
          <w:color w:val="1B1B1B"/>
          <w:kern w:val="0"/>
          <w:sz w:val="23"/>
          <w:szCs w:val="23"/>
          <w:lang w:eastAsia="da-DK"/>
          <w14:ligatures w14:val="none"/>
        </w:rPr>
        <w:t xml:space="preserve"> eller tilsvarende) og eventuelt øvrigt materiale (billede, artikeluddrag, sangtekst eller lignende).</w:t>
      </w:r>
    </w:p>
    <w:p w14:paraId="4938E62E"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Eksamensspørgsmålet anviser, hvilke elementer i musikstykket, du forventes at analysere ved prøven. Derudover anviser eksamensspørgsmålet, hvordan materialet fra det eller de tematiske forløb, I har arbejdet med i starten af skoleåret, tænkes inddraget.</w:t>
      </w:r>
    </w:p>
    <w:p w14:paraId="26E3479B"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Du skal demonstrere elementært kendskab til </w:t>
      </w:r>
      <w:proofErr w:type="spellStart"/>
      <w:r w:rsidRPr="009A647C">
        <w:rPr>
          <w:rFonts w:ascii="Open Sans" w:eastAsia="Times New Roman" w:hAnsi="Open Sans" w:cs="Open Sans"/>
          <w:color w:val="1B1B1B"/>
          <w:kern w:val="0"/>
          <w:sz w:val="23"/>
          <w:szCs w:val="23"/>
          <w:lang w:eastAsia="da-DK"/>
          <w14:ligatures w14:val="none"/>
        </w:rPr>
        <w:t>musikinterne</w:t>
      </w:r>
      <w:proofErr w:type="spellEnd"/>
      <w:r w:rsidRPr="009A647C">
        <w:rPr>
          <w:rFonts w:ascii="Open Sans" w:eastAsia="Times New Roman" w:hAnsi="Open Sans" w:cs="Open Sans"/>
          <w:color w:val="1B1B1B"/>
          <w:kern w:val="0"/>
          <w:sz w:val="23"/>
          <w:szCs w:val="23"/>
          <w:lang w:eastAsia="da-DK"/>
          <w14:ligatures w14:val="none"/>
        </w:rPr>
        <w:t xml:space="preserve"> forhold ved analysen af musikstykket og kendskab til musikeksterne forhold ved en perspektivering af analysen. Opgaven er udformet, så den afspejler og ligger i naturlig forlængelse af de arbejdsmetoder, du har lært og anvendt i undervisningen.</w:t>
      </w:r>
    </w:p>
    <w:p w14:paraId="783ED76D"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Prøven tager udgangspunkt i din mundtlige analysegennemgang og din inddragelse af de(t) tematiske forløb, og derefter i en uddybende samtale om opgaven med eksaminator. Samtalen mellem dig og eksaminator vil typisk fokusere på begrundelser for din analyse frem for din redegørelse for analysen. En redegørelse for formforløbet på en indspilning vil </w:t>
      </w:r>
      <w:proofErr w:type="gramStart"/>
      <w:r w:rsidRPr="009A647C">
        <w:rPr>
          <w:rFonts w:ascii="Open Sans" w:eastAsia="Times New Roman" w:hAnsi="Open Sans" w:cs="Open Sans"/>
          <w:color w:val="1B1B1B"/>
          <w:kern w:val="0"/>
          <w:sz w:val="23"/>
          <w:szCs w:val="23"/>
          <w:lang w:eastAsia="da-DK"/>
          <w14:ligatures w14:val="none"/>
        </w:rPr>
        <w:t>eksempelvis</w:t>
      </w:r>
      <w:proofErr w:type="gramEnd"/>
      <w:r w:rsidRPr="009A647C">
        <w:rPr>
          <w:rFonts w:ascii="Open Sans" w:eastAsia="Times New Roman" w:hAnsi="Open Sans" w:cs="Open Sans"/>
          <w:color w:val="1B1B1B"/>
          <w:kern w:val="0"/>
          <w:sz w:val="23"/>
          <w:szCs w:val="23"/>
          <w:lang w:eastAsia="da-DK"/>
          <w14:ligatures w14:val="none"/>
        </w:rPr>
        <w:t xml:space="preserve"> næppe indeholde de store overraskelser, mens det derimod vil være væsentligt, at du forklarer, hvordan de musikalske parametres anvendelse og virkning på indspilningen er medvirkende til at danne de forskellige </w:t>
      </w:r>
      <w:proofErr w:type="spellStart"/>
      <w:r w:rsidRPr="009A647C">
        <w:rPr>
          <w:rFonts w:ascii="Open Sans" w:eastAsia="Times New Roman" w:hAnsi="Open Sans" w:cs="Open Sans"/>
          <w:color w:val="1B1B1B"/>
          <w:kern w:val="0"/>
          <w:sz w:val="23"/>
          <w:szCs w:val="23"/>
          <w:lang w:eastAsia="da-DK"/>
          <w14:ligatures w14:val="none"/>
        </w:rPr>
        <w:t>formdele</w:t>
      </w:r>
      <w:proofErr w:type="spellEnd"/>
      <w:r w:rsidRPr="009A647C">
        <w:rPr>
          <w:rFonts w:ascii="Open Sans" w:eastAsia="Times New Roman" w:hAnsi="Open Sans" w:cs="Open Sans"/>
          <w:color w:val="1B1B1B"/>
          <w:kern w:val="0"/>
          <w:sz w:val="23"/>
          <w:szCs w:val="23"/>
          <w:lang w:eastAsia="da-DK"/>
          <w14:ligatures w14:val="none"/>
        </w:rPr>
        <w:t>.</w:t>
      </w:r>
    </w:p>
    <w:p w14:paraId="1DDB73CD"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Prøvemateriale og eksamensspørgsmål udtrækkes før eksaminationens start, og der gives ca. 40 minutters forberedelsestid. Eksaminationstiden er ca. 20 minutter, hvoraf fem minutter går til votering og karaktergivning. Forberedelseslokalet er forsynet med afspilningsanlæg og et tangentinstrument. Du må også selv medbringe et musikinstrument efter eget valg.</w:t>
      </w:r>
    </w:p>
    <w:p w14:paraId="06F6350D"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Du må medbringe hjælpemidler til både forberedelsen og eksaminationen. Dog er der begrænsede regler for brug af internet – digitale læremidler, herunder </w:t>
      </w:r>
      <w:proofErr w:type="spellStart"/>
      <w:r w:rsidRPr="009A647C">
        <w:rPr>
          <w:rFonts w:ascii="Open Sans" w:eastAsia="Times New Roman" w:hAnsi="Open Sans" w:cs="Open Sans"/>
          <w:color w:val="1B1B1B"/>
          <w:kern w:val="0"/>
          <w:sz w:val="23"/>
          <w:szCs w:val="23"/>
          <w:lang w:eastAsia="da-DK"/>
          <w14:ligatures w14:val="none"/>
        </w:rPr>
        <w:t>Musikipedia</w:t>
      </w:r>
      <w:proofErr w:type="spellEnd"/>
      <w:r w:rsidRPr="009A647C">
        <w:rPr>
          <w:rFonts w:ascii="Open Sans" w:eastAsia="Times New Roman" w:hAnsi="Open Sans" w:cs="Open Sans"/>
          <w:color w:val="1B1B1B"/>
          <w:kern w:val="0"/>
          <w:sz w:val="23"/>
          <w:szCs w:val="23"/>
          <w:lang w:eastAsia="da-DK"/>
          <w14:ligatures w14:val="none"/>
        </w:rPr>
        <w:t>, må kun tilgås, hvis de fremgår af undervisningsbeskrivelsen, som udfyldes af din lærer.</w:t>
      </w:r>
    </w:p>
    <w:p w14:paraId="2E5DE254" w14:textId="77777777" w:rsidR="009A647C" w:rsidRPr="009A647C" w:rsidRDefault="009A647C" w:rsidP="009A647C">
      <w:pPr>
        <w:shd w:val="clear" w:color="auto" w:fill="FFFFFF"/>
        <w:spacing w:after="0" w:line="240" w:lineRule="auto"/>
        <w:textAlignment w:val="baseline"/>
        <w:outlineLvl w:val="2"/>
        <w:rPr>
          <w:rFonts w:ascii="Open Sans" w:eastAsia="Times New Roman" w:hAnsi="Open Sans" w:cs="Open Sans"/>
          <w:b/>
          <w:bCs/>
          <w:color w:val="1B1B1B"/>
          <w:kern w:val="0"/>
          <w:sz w:val="27"/>
          <w:szCs w:val="27"/>
          <w:lang w:eastAsia="da-DK"/>
          <w14:ligatures w14:val="none"/>
        </w:rPr>
      </w:pPr>
      <w:r w:rsidRPr="009A647C">
        <w:rPr>
          <w:rFonts w:ascii="Open Sans" w:eastAsia="Times New Roman" w:hAnsi="Open Sans" w:cs="Open Sans"/>
          <w:b/>
          <w:bCs/>
          <w:color w:val="1B1B1B"/>
          <w:kern w:val="0"/>
          <w:sz w:val="27"/>
          <w:szCs w:val="27"/>
          <w:lang w:eastAsia="da-DK"/>
          <w14:ligatures w14:val="none"/>
        </w:rPr>
        <w:lastRenderedPageBreak/>
        <w:t>Musikudøvelse</w:t>
      </w:r>
    </w:p>
    <w:p w14:paraId="62C0899B" w14:textId="77777777" w:rsidR="009A647C" w:rsidRP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 xml:space="preserve">Ved prøven i musikudøvelse skal du fremføre et på forhånd indstuderet musikstykke i en gruppe på mindst to eksaminander. Et musikstykke forstås meget bredt og kan </w:t>
      </w:r>
      <w:proofErr w:type="gramStart"/>
      <w:r w:rsidRPr="009A647C">
        <w:rPr>
          <w:rFonts w:ascii="Open Sans" w:eastAsia="Times New Roman" w:hAnsi="Open Sans" w:cs="Open Sans"/>
          <w:color w:val="1B1B1B"/>
          <w:kern w:val="0"/>
          <w:sz w:val="23"/>
          <w:szCs w:val="23"/>
          <w:lang w:eastAsia="da-DK"/>
          <w14:ligatures w14:val="none"/>
        </w:rPr>
        <w:t>eksempelvis</w:t>
      </w:r>
      <w:proofErr w:type="gramEnd"/>
      <w:r w:rsidRPr="009A647C">
        <w:rPr>
          <w:rFonts w:ascii="Open Sans" w:eastAsia="Times New Roman" w:hAnsi="Open Sans" w:cs="Open Sans"/>
          <w:color w:val="1B1B1B"/>
          <w:kern w:val="0"/>
          <w:sz w:val="23"/>
          <w:szCs w:val="23"/>
          <w:lang w:eastAsia="da-DK"/>
          <w14:ligatures w14:val="none"/>
        </w:rPr>
        <w:t xml:space="preserve"> være en improvisation, et talekor, en sats, et stompforløb, en SDS-opførelse med brug af krop og stemme eller en mere traditionel gruppefremførelse.</w:t>
      </w:r>
    </w:p>
    <w:p w14:paraId="0F6BD807" w14:textId="77777777" w:rsidR="009A647C" w:rsidRDefault="009A647C"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r w:rsidRPr="009A647C">
        <w:rPr>
          <w:rFonts w:ascii="Open Sans" w:eastAsia="Times New Roman" w:hAnsi="Open Sans" w:cs="Open Sans"/>
          <w:color w:val="1B1B1B"/>
          <w:kern w:val="0"/>
          <w:sz w:val="23"/>
          <w:szCs w:val="23"/>
          <w:lang w:eastAsia="da-DK"/>
          <w14:ligatures w14:val="none"/>
        </w:rPr>
        <w:t>Eksaminationstiden er ca. fem minutter pr. eksaminand. Hver eksaminand skal kun optræde én gang. Hvis du ønsker at fremføre et solonummer, eventuelt med akkompagnement, er det muligt, men hovedsigtet med musikudøvelse er gruppesammenspil.</w:t>
      </w:r>
    </w:p>
    <w:p w14:paraId="4DE468FC" w14:textId="77777777" w:rsidR="00CA3C61" w:rsidRDefault="00CA3C61"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p>
    <w:p w14:paraId="624628FD" w14:textId="77777777" w:rsidR="00CA3C61" w:rsidRPr="009A647C" w:rsidRDefault="00CA3C61" w:rsidP="009A647C">
      <w:pPr>
        <w:shd w:val="clear" w:color="auto" w:fill="FFFFFF"/>
        <w:spacing w:after="0" w:line="360" w:lineRule="atLeast"/>
        <w:textAlignment w:val="baseline"/>
        <w:rPr>
          <w:rFonts w:ascii="Open Sans" w:eastAsia="Times New Roman" w:hAnsi="Open Sans" w:cs="Open Sans"/>
          <w:color w:val="1B1B1B"/>
          <w:kern w:val="0"/>
          <w:sz w:val="23"/>
          <w:szCs w:val="23"/>
          <w:lang w:eastAsia="da-DK"/>
          <w14:ligatures w14:val="none"/>
        </w:rPr>
      </w:pPr>
    </w:p>
    <w:p w14:paraId="3B94F9CA" w14:textId="77777777" w:rsidR="00CA3C61" w:rsidRPr="00CA3C61" w:rsidRDefault="00CA3C61" w:rsidP="00CA3C61">
      <w:pPr>
        <w:shd w:val="clear" w:color="auto" w:fill="FFFFFF"/>
        <w:spacing w:after="0" w:line="360" w:lineRule="atLeast"/>
        <w:textAlignment w:val="baseline"/>
        <w:rPr>
          <w:rFonts w:ascii="Open Sans" w:eastAsia="Times New Roman" w:hAnsi="Open Sans" w:cs="Open Sans"/>
          <w:b/>
          <w:bCs/>
          <w:color w:val="1B1B1B"/>
          <w:kern w:val="0"/>
          <w:sz w:val="23"/>
          <w:szCs w:val="23"/>
          <w:lang w:eastAsia="da-DK"/>
          <w14:ligatures w14:val="none"/>
        </w:rPr>
      </w:pPr>
      <w:r w:rsidRPr="00CA3C61">
        <w:rPr>
          <w:rFonts w:ascii="Open Sans" w:eastAsia="Times New Roman" w:hAnsi="Open Sans" w:cs="Open Sans"/>
          <w:b/>
          <w:bCs/>
          <w:color w:val="1B1B1B"/>
          <w:kern w:val="0"/>
          <w:sz w:val="23"/>
          <w:szCs w:val="23"/>
          <w:lang w:eastAsia="da-DK"/>
          <w14:ligatures w14:val="none"/>
        </w:rPr>
        <w:t>I musikkundskab skal du kunne:</w:t>
      </w:r>
    </w:p>
    <w:p w14:paraId="5D3F9784" w14:textId="77777777" w:rsidR="00CA3C61" w:rsidRPr="00CA3C61" w:rsidRDefault="00CA3C61" w:rsidP="00CA3C61">
      <w:pPr>
        <w:numPr>
          <w:ilvl w:val="0"/>
          <w:numId w:val="3"/>
        </w:numPr>
        <w:shd w:val="clear" w:color="auto" w:fill="FFFFFF"/>
        <w:spacing w:after="0" w:line="240" w:lineRule="auto"/>
        <w:ind w:left="1245"/>
        <w:textAlignment w:val="baseline"/>
        <w:rPr>
          <w:rFonts w:ascii="Open Sans" w:eastAsia="Times New Roman" w:hAnsi="Open Sans" w:cs="Open Sans"/>
          <w:color w:val="1B1B1B"/>
          <w:kern w:val="0"/>
          <w:sz w:val="23"/>
          <w:szCs w:val="23"/>
          <w:lang w:eastAsia="da-DK"/>
          <w14:ligatures w14:val="none"/>
        </w:rPr>
      </w:pPr>
      <w:r w:rsidRPr="00CA3C61">
        <w:rPr>
          <w:rFonts w:ascii="Open Sans" w:eastAsia="Times New Roman" w:hAnsi="Open Sans" w:cs="Open Sans"/>
          <w:color w:val="1B1B1B"/>
          <w:kern w:val="0"/>
          <w:sz w:val="23"/>
          <w:szCs w:val="23"/>
          <w:lang w:eastAsia="da-DK"/>
          <w14:ligatures w14:val="none"/>
        </w:rPr>
        <w:t>identificere musikalske parametre og deres anvendelse og virkning i væsensforskellige perioder, stilarter og genrer gennem analyse af såvel klingende musik som grafiske repræsentationer med anvendelse af elementær musikfaglig terminologi og metode</w:t>
      </w:r>
    </w:p>
    <w:p w14:paraId="6BA49AB0" w14:textId="77777777" w:rsidR="00CA3C61" w:rsidRPr="00CA3C61" w:rsidRDefault="00CA3C61" w:rsidP="00CA3C61">
      <w:pPr>
        <w:numPr>
          <w:ilvl w:val="0"/>
          <w:numId w:val="3"/>
        </w:numPr>
        <w:shd w:val="clear" w:color="auto" w:fill="FFFFFF"/>
        <w:spacing w:after="0" w:line="240" w:lineRule="auto"/>
        <w:ind w:left="1245"/>
        <w:textAlignment w:val="baseline"/>
        <w:rPr>
          <w:rFonts w:ascii="Open Sans" w:eastAsia="Times New Roman" w:hAnsi="Open Sans" w:cs="Open Sans"/>
          <w:color w:val="1B1B1B"/>
          <w:kern w:val="0"/>
          <w:sz w:val="23"/>
          <w:szCs w:val="23"/>
          <w:lang w:eastAsia="da-DK"/>
          <w14:ligatures w14:val="none"/>
        </w:rPr>
      </w:pPr>
      <w:r w:rsidRPr="00CA3C61">
        <w:rPr>
          <w:rFonts w:ascii="Open Sans" w:eastAsia="Times New Roman" w:hAnsi="Open Sans" w:cs="Open Sans"/>
          <w:color w:val="1B1B1B"/>
          <w:kern w:val="0"/>
          <w:sz w:val="23"/>
          <w:szCs w:val="23"/>
          <w:lang w:eastAsia="da-DK"/>
          <w14:ligatures w14:val="none"/>
        </w:rPr>
        <w:t>sætte analyse af musik ind i en relevant historisk, samfundsmæssig, kulturel, global og stil- og genremæssig sammenhæng</w:t>
      </w:r>
    </w:p>
    <w:p w14:paraId="24CF35D2" w14:textId="77777777" w:rsidR="00CA3C61" w:rsidRPr="00CA3C61" w:rsidRDefault="00CA3C61" w:rsidP="00CA3C61">
      <w:pPr>
        <w:numPr>
          <w:ilvl w:val="0"/>
          <w:numId w:val="3"/>
        </w:numPr>
        <w:shd w:val="clear" w:color="auto" w:fill="FFFFFF"/>
        <w:spacing w:after="0" w:line="240" w:lineRule="auto"/>
        <w:ind w:left="1245"/>
        <w:textAlignment w:val="baseline"/>
        <w:rPr>
          <w:rFonts w:ascii="Open Sans" w:eastAsia="Times New Roman" w:hAnsi="Open Sans" w:cs="Open Sans"/>
          <w:color w:val="1B1B1B"/>
          <w:kern w:val="0"/>
          <w:sz w:val="23"/>
          <w:szCs w:val="23"/>
          <w:lang w:eastAsia="da-DK"/>
          <w14:ligatures w14:val="none"/>
        </w:rPr>
      </w:pPr>
      <w:r w:rsidRPr="00CA3C61">
        <w:rPr>
          <w:rFonts w:ascii="Open Sans" w:eastAsia="Times New Roman" w:hAnsi="Open Sans" w:cs="Open Sans"/>
          <w:color w:val="1B1B1B"/>
          <w:kern w:val="0"/>
          <w:sz w:val="23"/>
          <w:szCs w:val="23"/>
          <w:lang w:eastAsia="da-DK"/>
          <w14:ligatures w14:val="none"/>
        </w:rPr>
        <w:t>opsøge og anvende fagrelevant kildemateriale</w:t>
      </w:r>
    </w:p>
    <w:p w14:paraId="3C5071B6" w14:textId="77777777" w:rsidR="00CA3C61" w:rsidRPr="00CA3C61" w:rsidRDefault="00CA3C61" w:rsidP="00CA3C61">
      <w:pPr>
        <w:numPr>
          <w:ilvl w:val="0"/>
          <w:numId w:val="3"/>
        </w:numPr>
        <w:shd w:val="clear" w:color="auto" w:fill="FFFFFF"/>
        <w:spacing w:after="0" w:line="240" w:lineRule="auto"/>
        <w:ind w:left="1245"/>
        <w:textAlignment w:val="baseline"/>
        <w:rPr>
          <w:rFonts w:ascii="Open Sans" w:eastAsia="Times New Roman" w:hAnsi="Open Sans" w:cs="Open Sans"/>
          <w:color w:val="1B1B1B"/>
          <w:kern w:val="0"/>
          <w:sz w:val="23"/>
          <w:szCs w:val="23"/>
          <w:lang w:eastAsia="da-DK"/>
          <w14:ligatures w14:val="none"/>
        </w:rPr>
      </w:pPr>
      <w:r w:rsidRPr="00CA3C61">
        <w:rPr>
          <w:rFonts w:ascii="Open Sans" w:eastAsia="Times New Roman" w:hAnsi="Open Sans" w:cs="Open Sans"/>
          <w:color w:val="1B1B1B"/>
          <w:kern w:val="0"/>
          <w:sz w:val="23"/>
          <w:szCs w:val="23"/>
          <w:lang w:eastAsia="da-DK"/>
          <w14:ligatures w14:val="none"/>
        </w:rPr>
        <w:t>demonstrere viden om fagets identitet og metoder</w:t>
      </w:r>
    </w:p>
    <w:p w14:paraId="75272456" w14:textId="77777777" w:rsidR="00CA3C61" w:rsidRPr="00CA3C61" w:rsidRDefault="00CA3C61" w:rsidP="00CA3C61">
      <w:pPr>
        <w:numPr>
          <w:ilvl w:val="0"/>
          <w:numId w:val="3"/>
        </w:numPr>
        <w:shd w:val="clear" w:color="auto" w:fill="FFFFFF"/>
        <w:spacing w:after="0" w:line="240" w:lineRule="auto"/>
        <w:ind w:left="1245"/>
        <w:textAlignment w:val="baseline"/>
        <w:rPr>
          <w:rFonts w:ascii="Open Sans" w:eastAsia="Times New Roman" w:hAnsi="Open Sans" w:cs="Open Sans"/>
          <w:color w:val="1B1B1B"/>
          <w:kern w:val="0"/>
          <w:sz w:val="23"/>
          <w:szCs w:val="23"/>
          <w:lang w:eastAsia="da-DK"/>
          <w14:ligatures w14:val="none"/>
        </w:rPr>
      </w:pPr>
      <w:r w:rsidRPr="00CA3C61">
        <w:rPr>
          <w:rFonts w:ascii="Open Sans" w:eastAsia="Times New Roman" w:hAnsi="Open Sans" w:cs="Open Sans"/>
          <w:color w:val="1B1B1B"/>
          <w:kern w:val="0"/>
          <w:sz w:val="23"/>
          <w:szCs w:val="23"/>
          <w:lang w:eastAsia="da-DK"/>
          <w14:ligatures w14:val="none"/>
        </w:rPr>
        <w:t>behandle problemstillinger i samspil med andre fag.</w:t>
      </w:r>
    </w:p>
    <w:p w14:paraId="6F5A1736" w14:textId="2801C295" w:rsidR="009A647C" w:rsidRDefault="00CA3C61" w:rsidP="009A647C">
      <w:pPr>
        <w:spacing w:line="256" w:lineRule="auto"/>
        <w:rPr>
          <w:sz w:val="48"/>
          <w:szCs w:val="48"/>
        </w:rPr>
      </w:pPr>
      <w:r>
        <w:rPr>
          <w:sz w:val="48"/>
          <w:szCs w:val="48"/>
        </w:rPr>
        <w:t>ALT I ALT:</w:t>
      </w:r>
    </w:p>
    <w:p w14:paraId="3F2F060A" w14:textId="77777777" w:rsidR="00CA3C61" w:rsidRPr="00CA3C61" w:rsidRDefault="00CA3C61" w:rsidP="00CA3C61">
      <w:pPr>
        <w:shd w:val="clear" w:color="auto" w:fill="F6F6F9"/>
        <w:spacing w:before="100" w:beforeAutospacing="1" w:after="100" w:afterAutospacing="1" w:line="240" w:lineRule="auto"/>
        <w:outlineLvl w:val="2"/>
        <w:rPr>
          <w:rFonts w:ascii="Helvetica" w:eastAsia="Times New Roman" w:hAnsi="Helvetica" w:cs="Times New Roman"/>
          <w:color w:val="0A0A0A"/>
          <w:kern w:val="0"/>
          <w:sz w:val="27"/>
          <w:szCs w:val="27"/>
          <w:lang w:eastAsia="da-DK"/>
          <w14:ligatures w14:val="none"/>
        </w:rPr>
      </w:pPr>
      <w:r w:rsidRPr="00CA3C61">
        <w:rPr>
          <w:rFonts w:ascii="Helvetica" w:eastAsia="Times New Roman" w:hAnsi="Helvetica" w:cs="Times New Roman"/>
          <w:color w:val="0A0A0A"/>
          <w:kern w:val="0"/>
          <w:sz w:val="27"/>
          <w:szCs w:val="27"/>
          <w:lang w:eastAsia="da-DK"/>
          <w14:ligatures w14:val="none"/>
        </w:rPr>
        <w:t>Om den mundtlige eksamen</w:t>
      </w:r>
    </w:p>
    <w:p w14:paraId="0A079530" w14:textId="77777777" w:rsidR="00CA3C61" w:rsidRPr="00CA3C61" w:rsidRDefault="00CA3C61" w:rsidP="00CA3C61">
      <w:pPr>
        <w:shd w:val="clear" w:color="auto" w:fill="F6F6F9"/>
        <w:spacing w:after="0" w:line="240" w:lineRule="auto"/>
        <w:rPr>
          <w:rFonts w:ascii="Helvetica" w:eastAsia="Times New Roman" w:hAnsi="Helvetica" w:cs="Times New Roman"/>
          <w:color w:val="0A0A0A"/>
          <w:kern w:val="0"/>
          <w:sz w:val="26"/>
          <w:szCs w:val="26"/>
          <w:lang w:eastAsia="da-DK"/>
          <w14:ligatures w14:val="none"/>
        </w:rPr>
      </w:pPr>
      <w:r w:rsidRPr="00CA3C61">
        <w:rPr>
          <w:rFonts w:ascii="Helvetica" w:eastAsia="Times New Roman" w:hAnsi="Helvetica" w:cs="Times New Roman"/>
          <w:color w:val="0A0A0A"/>
          <w:kern w:val="0"/>
          <w:sz w:val="26"/>
          <w:szCs w:val="26"/>
          <w:lang w:eastAsia="da-DK"/>
          <w14:ligatures w14:val="none"/>
        </w:rPr>
        <w:t xml:space="preserve">Den mundtlige eksamen består af et sammenspil og en individuel del. Sammenspillet foregår i grupper, hvor man fremfører et musiknummer af en varighed på ca. 5 minutter. Gruppen har forberedt sit nummer både i og udenfor undervisningen. I denne del bedømmes du på dine færdigheder og derudover på gruppens generelle sammenspil. I den individuelle del skal du </w:t>
      </w:r>
      <w:proofErr w:type="gramStart"/>
      <w:r w:rsidRPr="00CA3C61">
        <w:rPr>
          <w:rFonts w:ascii="Helvetica" w:eastAsia="Times New Roman" w:hAnsi="Helvetica" w:cs="Times New Roman"/>
          <w:color w:val="0A0A0A"/>
          <w:kern w:val="0"/>
          <w:sz w:val="26"/>
          <w:szCs w:val="26"/>
          <w:lang w:eastAsia="da-DK"/>
          <w14:ligatures w14:val="none"/>
        </w:rPr>
        <w:t>lave en analyse af</w:t>
      </w:r>
      <w:proofErr w:type="gramEnd"/>
      <w:r w:rsidRPr="00CA3C61">
        <w:rPr>
          <w:rFonts w:ascii="Helvetica" w:eastAsia="Times New Roman" w:hAnsi="Helvetica" w:cs="Times New Roman"/>
          <w:color w:val="0A0A0A"/>
          <w:kern w:val="0"/>
          <w:sz w:val="26"/>
          <w:szCs w:val="26"/>
          <w:lang w:eastAsia="da-DK"/>
          <w14:ligatures w14:val="none"/>
        </w:rPr>
        <w:t xml:space="preserve"> kendt materiale fra undervisningen. I den individuelle del bliver du bedømt på dine teoretiske og analytiske evner, og din musikhistoriske baggrundsviden.</w:t>
      </w:r>
    </w:p>
    <w:p w14:paraId="2148BD87" w14:textId="77777777" w:rsidR="00CA3C61" w:rsidRDefault="00CA3C61" w:rsidP="009A647C">
      <w:pPr>
        <w:spacing w:line="256" w:lineRule="auto"/>
        <w:rPr>
          <w:sz w:val="48"/>
          <w:szCs w:val="48"/>
        </w:rPr>
      </w:pPr>
    </w:p>
    <w:p w14:paraId="300D782F" w14:textId="76183708" w:rsidR="009A647C" w:rsidRDefault="009A647C" w:rsidP="009A647C">
      <w:pPr>
        <w:spacing w:line="256" w:lineRule="auto"/>
        <w:rPr>
          <w:sz w:val="48"/>
          <w:szCs w:val="48"/>
        </w:rPr>
      </w:pPr>
      <w:r>
        <w:rPr>
          <w:sz w:val="48"/>
          <w:szCs w:val="48"/>
        </w:rPr>
        <w:t>Eksempel på spørgsmål:</w:t>
      </w:r>
    </w:p>
    <w:p w14:paraId="2E1ED1D9" w14:textId="77777777" w:rsidR="009A647C" w:rsidRPr="009A647C" w:rsidRDefault="009A647C" w:rsidP="009A647C">
      <w:pPr>
        <w:spacing w:line="256" w:lineRule="auto"/>
        <w:rPr>
          <w:sz w:val="48"/>
          <w:szCs w:val="48"/>
        </w:rPr>
      </w:pPr>
    </w:p>
    <w:p w14:paraId="277D8EFE" w14:textId="66D5AA29" w:rsidR="000472E6" w:rsidRPr="00B717D9" w:rsidRDefault="000472E6" w:rsidP="000472E6">
      <w:pPr>
        <w:pStyle w:val="Listeafsnit"/>
        <w:numPr>
          <w:ilvl w:val="0"/>
          <w:numId w:val="2"/>
        </w:numPr>
        <w:spacing w:line="256" w:lineRule="auto"/>
        <w:rPr>
          <w:sz w:val="48"/>
          <w:szCs w:val="48"/>
        </w:rPr>
      </w:pPr>
      <w:r w:rsidRPr="00565253">
        <w:rPr>
          <w:b/>
          <w:bCs/>
          <w:sz w:val="48"/>
          <w:szCs w:val="48"/>
        </w:rPr>
        <w:lastRenderedPageBreak/>
        <w:t>Særligt studeret område</w:t>
      </w:r>
      <w:r w:rsidRPr="00B717D9">
        <w:rPr>
          <w:sz w:val="48"/>
          <w:szCs w:val="48"/>
        </w:rPr>
        <w:t>: Gasolin: ”Langebro”</w:t>
      </w:r>
      <w:r>
        <w:rPr>
          <w:sz w:val="48"/>
          <w:szCs w:val="48"/>
        </w:rPr>
        <w:t xml:space="preserve"> +</w:t>
      </w:r>
    </w:p>
    <w:p w14:paraId="16E37866" w14:textId="77777777" w:rsidR="000472E6" w:rsidRPr="00B717D9" w:rsidRDefault="000472E6" w:rsidP="000472E6">
      <w:pPr>
        <w:pStyle w:val="Listeafsnit"/>
        <w:rPr>
          <w:sz w:val="48"/>
          <w:szCs w:val="48"/>
        </w:rPr>
      </w:pPr>
      <w:r w:rsidRPr="00565253">
        <w:rPr>
          <w:b/>
          <w:bCs/>
          <w:sz w:val="48"/>
          <w:szCs w:val="48"/>
        </w:rPr>
        <w:t>Sekundært</w:t>
      </w:r>
      <w:r w:rsidRPr="00B717D9">
        <w:rPr>
          <w:sz w:val="48"/>
          <w:szCs w:val="48"/>
        </w:rPr>
        <w:t>: ”omkvæd”/Barok: Vivaldis ”De 4 årstider”: forår, 1. sats.</w:t>
      </w:r>
    </w:p>
    <w:p w14:paraId="7752B815" w14:textId="77777777" w:rsidR="000472E6" w:rsidRDefault="000472E6" w:rsidP="000472E6">
      <w:pPr>
        <w:pStyle w:val="Listeafsnit"/>
        <w:numPr>
          <w:ilvl w:val="0"/>
          <w:numId w:val="1"/>
        </w:numPr>
        <w:rPr>
          <w:sz w:val="28"/>
          <w:szCs w:val="28"/>
        </w:rPr>
      </w:pPr>
      <w:r w:rsidRPr="00DE1186">
        <w:rPr>
          <w:sz w:val="28"/>
          <w:szCs w:val="28"/>
        </w:rPr>
        <w:t xml:space="preserve">Redegør for </w:t>
      </w:r>
      <w:r w:rsidRPr="000472E6">
        <w:rPr>
          <w:b/>
          <w:bCs/>
          <w:sz w:val="28"/>
          <w:szCs w:val="28"/>
        </w:rPr>
        <w:t>form</w:t>
      </w:r>
      <w:r>
        <w:rPr>
          <w:sz w:val="28"/>
          <w:szCs w:val="28"/>
        </w:rPr>
        <w:t xml:space="preserve">, samt </w:t>
      </w:r>
      <w:r w:rsidRPr="000472E6">
        <w:rPr>
          <w:b/>
          <w:bCs/>
          <w:sz w:val="28"/>
          <w:szCs w:val="28"/>
        </w:rPr>
        <w:t>hitskabelonens</w:t>
      </w:r>
      <w:r>
        <w:rPr>
          <w:sz w:val="28"/>
          <w:szCs w:val="28"/>
        </w:rPr>
        <w:t xml:space="preserve"> eventuelle relevans – eller ikke (i </w:t>
      </w:r>
      <w:proofErr w:type="spellStart"/>
      <w:r>
        <w:rPr>
          <w:sz w:val="28"/>
          <w:szCs w:val="28"/>
        </w:rPr>
        <w:t>fht</w:t>
      </w:r>
      <w:proofErr w:type="spellEnd"/>
      <w:r>
        <w:rPr>
          <w:sz w:val="28"/>
          <w:szCs w:val="28"/>
        </w:rPr>
        <w:t xml:space="preserve"> nummerets </w:t>
      </w:r>
      <w:r w:rsidRPr="000472E6">
        <w:rPr>
          <w:i/>
          <w:iCs/>
          <w:sz w:val="28"/>
          <w:szCs w:val="28"/>
        </w:rPr>
        <w:t>tid, hook, break, gimmick, sound</w:t>
      </w:r>
      <w:r>
        <w:rPr>
          <w:sz w:val="28"/>
          <w:szCs w:val="28"/>
        </w:rPr>
        <w:t xml:space="preserve">), og hvordan disse </w:t>
      </w:r>
      <w:r>
        <w:rPr>
          <w:sz w:val="28"/>
          <w:szCs w:val="28"/>
        </w:rPr>
        <w:t xml:space="preserve">passer/passer ikke til Gasolins ”Langebro” (1971). </w:t>
      </w:r>
    </w:p>
    <w:p w14:paraId="5F1928B6" w14:textId="77777777" w:rsidR="000472E6" w:rsidRDefault="000472E6" w:rsidP="000472E6">
      <w:pPr>
        <w:pStyle w:val="Listeafsnit"/>
        <w:ind w:left="644"/>
        <w:rPr>
          <w:sz w:val="28"/>
          <w:szCs w:val="28"/>
        </w:rPr>
      </w:pPr>
      <w:r>
        <w:rPr>
          <w:sz w:val="28"/>
          <w:szCs w:val="28"/>
        </w:rPr>
        <w:t>Du må gerne inddrage andre musikalske forhold også</w:t>
      </w:r>
      <w:r>
        <w:rPr>
          <w:sz w:val="28"/>
          <w:szCs w:val="28"/>
        </w:rPr>
        <w:t xml:space="preserve">. </w:t>
      </w:r>
    </w:p>
    <w:p w14:paraId="2F8E9787" w14:textId="091AAEE9" w:rsidR="000472E6" w:rsidRPr="000472E6" w:rsidRDefault="000472E6" w:rsidP="000472E6">
      <w:pPr>
        <w:rPr>
          <w:sz w:val="28"/>
          <w:szCs w:val="28"/>
        </w:rPr>
      </w:pPr>
      <w:r w:rsidRPr="000472E6">
        <w:rPr>
          <w:sz w:val="28"/>
          <w:szCs w:val="28"/>
        </w:rPr>
        <w:t xml:space="preserve">Vis i den </w:t>
      </w:r>
      <w:r w:rsidRPr="000472E6">
        <w:rPr>
          <w:sz w:val="28"/>
          <w:szCs w:val="28"/>
          <w:u w:val="single"/>
        </w:rPr>
        <w:t>vedhæftede node</w:t>
      </w:r>
      <w:r w:rsidRPr="000472E6">
        <w:rPr>
          <w:sz w:val="28"/>
          <w:szCs w:val="28"/>
        </w:rPr>
        <w:t xml:space="preserve">, hvor de enkelte </w:t>
      </w:r>
      <w:proofErr w:type="spellStart"/>
      <w:r w:rsidRPr="000472E6">
        <w:rPr>
          <w:sz w:val="28"/>
          <w:szCs w:val="28"/>
        </w:rPr>
        <w:t>formled</w:t>
      </w:r>
      <w:proofErr w:type="spellEnd"/>
      <w:r w:rsidRPr="000472E6">
        <w:rPr>
          <w:sz w:val="28"/>
          <w:szCs w:val="28"/>
        </w:rPr>
        <w:t xml:space="preserve"> er – og </w:t>
      </w:r>
      <w:r>
        <w:rPr>
          <w:sz w:val="28"/>
          <w:szCs w:val="28"/>
        </w:rPr>
        <w:t xml:space="preserve">gerne </w:t>
      </w:r>
      <w:r w:rsidRPr="000472E6">
        <w:rPr>
          <w:sz w:val="28"/>
          <w:szCs w:val="28"/>
        </w:rPr>
        <w:t>and</w:t>
      </w:r>
      <w:r>
        <w:rPr>
          <w:sz w:val="28"/>
          <w:szCs w:val="28"/>
        </w:rPr>
        <w:t xml:space="preserve">re karakteristiske centraler </w:t>
      </w:r>
      <w:r w:rsidRPr="000472E6">
        <w:rPr>
          <w:sz w:val="28"/>
          <w:szCs w:val="28"/>
        </w:rPr>
        <w:t xml:space="preserve">i </w:t>
      </w:r>
      <w:proofErr w:type="spellStart"/>
      <w:r w:rsidRPr="000472E6">
        <w:rPr>
          <w:sz w:val="28"/>
          <w:szCs w:val="28"/>
        </w:rPr>
        <w:t>fht</w:t>
      </w:r>
      <w:proofErr w:type="spellEnd"/>
      <w:r w:rsidRPr="000472E6">
        <w:rPr>
          <w:sz w:val="28"/>
          <w:szCs w:val="28"/>
        </w:rPr>
        <w:t xml:space="preserve"> hertil.</w:t>
      </w:r>
    </w:p>
    <w:p w14:paraId="0C57F1E9" w14:textId="77777777" w:rsidR="000472E6" w:rsidRDefault="000472E6" w:rsidP="000472E6">
      <w:pPr>
        <w:pStyle w:val="Listeafsnit"/>
        <w:numPr>
          <w:ilvl w:val="0"/>
          <w:numId w:val="1"/>
        </w:numPr>
        <w:rPr>
          <w:sz w:val="28"/>
          <w:szCs w:val="28"/>
        </w:rPr>
      </w:pPr>
      <w:r>
        <w:rPr>
          <w:sz w:val="28"/>
          <w:szCs w:val="28"/>
        </w:rPr>
        <w:t xml:space="preserve">Se på, hvilke forhold sangen kan opfylde ud fra synspunktet om en </w:t>
      </w:r>
      <w:proofErr w:type="spellStart"/>
      <w:r>
        <w:rPr>
          <w:sz w:val="28"/>
          <w:szCs w:val="28"/>
        </w:rPr>
        <w:t>Mcdonaldisering</w:t>
      </w:r>
      <w:proofErr w:type="spellEnd"/>
      <w:r>
        <w:rPr>
          <w:sz w:val="28"/>
          <w:szCs w:val="28"/>
        </w:rPr>
        <w:t>.</w:t>
      </w:r>
    </w:p>
    <w:p w14:paraId="0289B114" w14:textId="77777777" w:rsidR="000472E6" w:rsidRDefault="000472E6" w:rsidP="000472E6">
      <w:pPr>
        <w:pStyle w:val="Listeafsnit"/>
        <w:ind w:left="644"/>
        <w:rPr>
          <w:sz w:val="28"/>
          <w:szCs w:val="28"/>
        </w:rPr>
      </w:pPr>
    </w:p>
    <w:p w14:paraId="34D5B6C2" w14:textId="088AD1F8" w:rsidR="000D16DF" w:rsidRPr="000D16DF" w:rsidRDefault="000D16DF" w:rsidP="000472E6">
      <w:pPr>
        <w:pStyle w:val="Listeafsnit"/>
        <w:ind w:left="644"/>
        <w:rPr>
          <w:b/>
          <w:bCs/>
          <w:sz w:val="28"/>
          <w:szCs w:val="28"/>
        </w:rPr>
      </w:pPr>
      <w:r w:rsidRPr="000D16DF">
        <w:rPr>
          <w:b/>
          <w:bCs/>
          <w:sz w:val="28"/>
          <w:szCs w:val="28"/>
        </w:rPr>
        <w:t>DERNÆST:</w:t>
      </w:r>
    </w:p>
    <w:p w14:paraId="742C5B51" w14:textId="493778D2" w:rsidR="000D16DF" w:rsidRDefault="000472E6" w:rsidP="000D16DF">
      <w:pPr>
        <w:rPr>
          <w:sz w:val="28"/>
          <w:szCs w:val="28"/>
        </w:rPr>
      </w:pPr>
      <w:r>
        <w:rPr>
          <w:sz w:val="28"/>
          <w:szCs w:val="28"/>
        </w:rPr>
        <w:t>Perspektiver til temaforløbet</w:t>
      </w:r>
      <w:r>
        <w:rPr>
          <w:rFonts w:eastAsia="Times New Roman" w:cstheme="minorHAnsi"/>
          <w:color w:val="0A0A0A"/>
          <w:kern w:val="36"/>
          <w:sz w:val="28"/>
          <w:szCs w:val="28"/>
          <w:lang w:eastAsia="da-DK"/>
        </w:rPr>
        <w:t xml:space="preserve"> ”Omkvæd: Barok og folkeviser”, hvor du særligt kommer ind på </w:t>
      </w:r>
      <w:proofErr w:type="spellStart"/>
      <w:r>
        <w:rPr>
          <w:rFonts w:eastAsia="Times New Roman" w:cstheme="minorHAnsi"/>
          <w:color w:val="0A0A0A"/>
          <w:kern w:val="36"/>
          <w:sz w:val="28"/>
          <w:szCs w:val="28"/>
          <w:lang w:eastAsia="da-DK"/>
        </w:rPr>
        <w:t>formindelingen</w:t>
      </w:r>
      <w:proofErr w:type="spellEnd"/>
      <w:r>
        <w:rPr>
          <w:rFonts w:eastAsia="Times New Roman" w:cstheme="minorHAnsi"/>
          <w:color w:val="0A0A0A"/>
          <w:kern w:val="36"/>
          <w:sz w:val="28"/>
          <w:szCs w:val="28"/>
          <w:lang w:eastAsia="da-DK"/>
        </w:rPr>
        <w:t xml:space="preserve"> af Vivaldis 1. sats, og inddrager begrebet ”ritornel”.</w:t>
      </w:r>
      <w:r w:rsidR="000D16DF" w:rsidRPr="000D16DF">
        <w:rPr>
          <w:sz w:val="28"/>
          <w:szCs w:val="28"/>
        </w:rPr>
        <w:t xml:space="preserve"> </w:t>
      </w:r>
      <w:r w:rsidR="000D16DF" w:rsidRPr="000472E6">
        <w:rPr>
          <w:sz w:val="28"/>
          <w:szCs w:val="28"/>
        </w:rPr>
        <w:t xml:space="preserve">Vis </w:t>
      </w:r>
      <w:r w:rsidR="000D16DF">
        <w:rPr>
          <w:sz w:val="28"/>
          <w:szCs w:val="28"/>
        </w:rPr>
        <w:t>også i</w:t>
      </w:r>
      <w:r w:rsidR="000D16DF" w:rsidRPr="000472E6">
        <w:rPr>
          <w:sz w:val="28"/>
          <w:szCs w:val="28"/>
        </w:rPr>
        <w:t xml:space="preserve"> den </w:t>
      </w:r>
      <w:r w:rsidR="000D16DF" w:rsidRPr="000472E6">
        <w:rPr>
          <w:sz w:val="28"/>
          <w:szCs w:val="28"/>
          <w:u w:val="single"/>
        </w:rPr>
        <w:t>vedhæftede node</w:t>
      </w:r>
      <w:r w:rsidR="000D16DF">
        <w:rPr>
          <w:sz w:val="28"/>
          <w:szCs w:val="28"/>
          <w:u w:val="single"/>
        </w:rPr>
        <w:t xml:space="preserve"> </w:t>
      </w:r>
      <w:r w:rsidR="000D16DF">
        <w:rPr>
          <w:sz w:val="28"/>
          <w:szCs w:val="28"/>
        </w:rPr>
        <w:t>her</w:t>
      </w:r>
      <w:r w:rsidR="000D16DF" w:rsidRPr="000472E6">
        <w:rPr>
          <w:sz w:val="28"/>
          <w:szCs w:val="28"/>
        </w:rPr>
        <w:t xml:space="preserve">, hvor de enkelte </w:t>
      </w:r>
      <w:proofErr w:type="spellStart"/>
      <w:r w:rsidR="000D16DF" w:rsidRPr="000472E6">
        <w:rPr>
          <w:sz w:val="28"/>
          <w:szCs w:val="28"/>
        </w:rPr>
        <w:t>formled</w:t>
      </w:r>
      <w:proofErr w:type="spellEnd"/>
      <w:r w:rsidR="000D16DF" w:rsidRPr="000472E6">
        <w:rPr>
          <w:sz w:val="28"/>
          <w:szCs w:val="28"/>
        </w:rPr>
        <w:t xml:space="preserve"> er – og </w:t>
      </w:r>
      <w:r w:rsidR="000D16DF">
        <w:rPr>
          <w:sz w:val="28"/>
          <w:szCs w:val="28"/>
        </w:rPr>
        <w:t xml:space="preserve">gerne </w:t>
      </w:r>
      <w:r w:rsidR="000D16DF" w:rsidRPr="000472E6">
        <w:rPr>
          <w:sz w:val="28"/>
          <w:szCs w:val="28"/>
        </w:rPr>
        <w:t>and</w:t>
      </w:r>
      <w:r w:rsidR="000D16DF">
        <w:rPr>
          <w:sz w:val="28"/>
          <w:szCs w:val="28"/>
        </w:rPr>
        <w:t xml:space="preserve">re karakteristiske centraler </w:t>
      </w:r>
      <w:r w:rsidR="000D16DF" w:rsidRPr="000472E6">
        <w:rPr>
          <w:sz w:val="28"/>
          <w:szCs w:val="28"/>
        </w:rPr>
        <w:t xml:space="preserve">i </w:t>
      </w:r>
      <w:proofErr w:type="spellStart"/>
      <w:r w:rsidR="000D16DF" w:rsidRPr="000472E6">
        <w:rPr>
          <w:sz w:val="28"/>
          <w:szCs w:val="28"/>
        </w:rPr>
        <w:t>fht</w:t>
      </w:r>
      <w:proofErr w:type="spellEnd"/>
      <w:r w:rsidR="000D16DF" w:rsidRPr="000472E6">
        <w:rPr>
          <w:sz w:val="28"/>
          <w:szCs w:val="28"/>
        </w:rPr>
        <w:t xml:space="preserve"> hertil</w:t>
      </w:r>
      <w:r w:rsidR="000D16DF">
        <w:rPr>
          <w:sz w:val="28"/>
          <w:szCs w:val="28"/>
        </w:rPr>
        <w:t xml:space="preserve">: Hvad er karakteristisk for </w:t>
      </w:r>
      <w:proofErr w:type="spellStart"/>
      <w:r w:rsidR="000D16DF">
        <w:rPr>
          <w:sz w:val="28"/>
          <w:szCs w:val="28"/>
        </w:rPr>
        <w:t>formledene</w:t>
      </w:r>
      <w:proofErr w:type="spellEnd"/>
      <w:r w:rsidR="000D16DF">
        <w:rPr>
          <w:sz w:val="28"/>
          <w:szCs w:val="28"/>
        </w:rPr>
        <w:t xml:space="preserve"> her?</w:t>
      </w:r>
    </w:p>
    <w:p w14:paraId="183A33C1" w14:textId="77777777" w:rsidR="000D16DF" w:rsidRPr="000472E6" w:rsidRDefault="000D16DF" w:rsidP="000D16DF">
      <w:pPr>
        <w:rPr>
          <w:sz w:val="28"/>
          <w:szCs w:val="28"/>
        </w:rPr>
      </w:pPr>
    </w:p>
    <w:p w14:paraId="7A793D87" w14:textId="3BC5A9F2" w:rsidR="000472E6" w:rsidRPr="000D16DF" w:rsidRDefault="000472E6" w:rsidP="000D16DF">
      <w:pPr>
        <w:pStyle w:val="Listeafsnit"/>
        <w:numPr>
          <w:ilvl w:val="0"/>
          <w:numId w:val="1"/>
        </w:numPr>
        <w:rPr>
          <w:sz w:val="28"/>
          <w:szCs w:val="28"/>
        </w:rPr>
      </w:pPr>
      <w:r w:rsidRPr="000D16DF">
        <w:rPr>
          <w:sz w:val="28"/>
          <w:szCs w:val="28"/>
        </w:rPr>
        <w:t>Endelig må du gerne perspektiver</w:t>
      </w:r>
      <w:r w:rsidR="000D16DF">
        <w:rPr>
          <w:sz w:val="28"/>
          <w:szCs w:val="28"/>
        </w:rPr>
        <w:t xml:space="preserve">e og </w:t>
      </w:r>
      <w:r w:rsidRPr="000D16DF">
        <w:rPr>
          <w:sz w:val="28"/>
          <w:szCs w:val="28"/>
        </w:rPr>
        <w:t xml:space="preserve">inddrage andre gennemgåede numre fra undervisningen, som er opgivet til eksamen </w:t>
      </w:r>
      <w:proofErr w:type="spellStart"/>
      <w:r w:rsidRPr="000D16DF">
        <w:rPr>
          <w:sz w:val="28"/>
          <w:szCs w:val="28"/>
        </w:rPr>
        <w:t>mht</w:t>
      </w:r>
      <w:proofErr w:type="spellEnd"/>
      <w:r w:rsidRPr="000D16DF">
        <w:rPr>
          <w:sz w:val="28"/>
          <w:szCs w:val="28"/>
        </w:rPr>
        <w:t xml:space="preserve"> form og gentagelsesfunktion (”omkvæd”)</w:t>
      </w:r>
      <w:r w:rsidR="000D16DF">
        <w:rPr>
          <w:sz w:val="28"/>
          <w:szCs w:val="28"/>
        </w:rPr>
        <w:t>: Hvilken betydning kan en ”gentagende” del både i popmusik samt klassisk (barok) have for, at vi husker et nummer?</w:t>
      </w:r>
    </w:p>
    <w:p w14:paraId="7804EA5D" w14:textId="77777777" w:rsidR="000472E6" w:rsidRDefault="000472E6" w:rsidP="000472E6">
      <w:pPr>
        <w:pStyle w:val="Listeafsnit"/>
        <w:ind w:left="644"/>
        <w:rPr>
          <w:sz w:val="28"/>
          <w:szCs w:val="28"/>
        </w:rPr>
      </w:pPr>
    </w:p>
    <w:p w14:paraId="6F9FF07C" w14:textId="77777777" w:rsidR="000472E6" w:rsidRDefault="000472E6" w:rsidP="000472E6">
      <w:pPr>
        <w:pStyle w:val="Listeafsnit"/>
        <w:ind w:left="644"/>
        <w:rPr>
          <w:sz w:val="28"/>
          <w:szCs w:val="28"/>
        </w:rPr>
      </w:pPr>
      <w:r w:rsidRPr="00C121E2">
        <w:rPr>
          <w:sz w:val="28"/>
          <w:szCs w:val="28"/>
        </w:rPr>
        <w:t xml:space="preserve">Vedlagt: </w:t>
      </w:r>
      <w:r w:rsidRPr="00C121E2">
        <w:rPr>
          <w:sz w:val="28"/>
          <w:szCs w:val="28"/>
        </w:rPr>
        <w:br/>
        <w:t>Node + lyd</w:t>
      </w:r>
      <w:r>
        <w:rPr>
          <w:sz w:val="28"/>
          <w:szCs w:val="28"/>
        </w:rPr>
        <w:t xml:space="preserve"> til Gasolin+</w:t>
      </w:r>
    </w:p>
    <w:p w14:paraId="65D9CB3E" w14:textId="77777777" w:rsidR="000472E6" w:rsidRPr="005768E6" w:rsidRDefault="000472E6" w:rsidP="000472E6">
      <w:pPr>
        <w:pStyle w:val="Listeafsnit"/>
        <w:rPr>
          <w:sz w:val="28"/>
          <w:szCs w:val="28"/>
        </w:rPr>
      </w:pPr>
    </w:p>
    <w:p w14:paraId="6F56EFA6" w14:textId="77777777" w:rsidR="000472E6" w:rsidRDefault="000472E6" w:rsidP="000472E6">
      <w:pPr>
        <w:pStyle w:val="Listeafsnit"/>
        <w:ind w:left="644"/>
        <w:rPr>
          <w:sz w:val="28"/>
          <w:szCs w:val="28"/>
        </w:rPr>
      </w:pPr>
      <w:r w:rsidRPr="00C121E2">
        <w:rPr>
          <w:sz w:val="28"/>
          <w:szCs w:val="28"/>
        </w:rPr>
        <w:t>lyd: Vivaldis 4 årstider, Forår: 1. sats</w:t>
      </w:r>
      <w:r w:rsidRPr="00C121E2">
        <w:rPr>
          <w:sz w:val="28"/>
          <w:szCs w:val="28"/>
        </w:rPr>
        <w:br/>
        <w:t>Tekst: Kopi af Barokbogen af Jens Dalsgård, side 124-127</w:t>
      </w:r>
    </w:p>
    <w:p w14:paraId="7534A33F" w14:textId="77777777" w:rsidR="000472E6" w:rsidRDefault="000472E6" w:rsidP="000472E6">
      <w:pPr>
        <w:pStyle w:val="Listeafsnit"/>
        <w:ind w:left="644"/>
        <w:rPr>
          <w:sz w:val="28"/>
          <w:szCs w:val="28"/>
        </w:rPr>
      </w:pPr>
    </w:p>
    <w:p w14:paraId="7F67901C" w14:textId="77777777" w:rsidR="000472E6" w:rsidRDefault="000472E6" w:rsidP="000472E6">
      <w:pPr>
        <w:pStyle w:val="Listeafsnit"/>
        <w:ind w:left="644"/>
        <w:rPr>
          <w:sz w:val="28"/>
          <w:szCs w:val="28"/>
        </w:rPr>
      </w:pPr>
    </w:p>
    <w:p w14:paraId="3C654DC8" w14:textId="77777777" w:rsidR="002C55D2" w:rsidRDefault="002C55D2"/>
    <w:sectPr w:rsidR="002C55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70BE"/>
    <w:multiLevelType w:val="hybridMultilevel"/>
    <w:tmpl w:val="0CAEC704"/>
    <w:lvl w:ilvl="0" w:tplc="04060017">
      <w:start w:val="1"/>
      <w:numFmt w:val="lowerLetter"/>
      <w:lvlText w:val="%1)"/>
      <w:lvlJc w:val="left"/>
      <w:pPr>
        <w:ind w:left="644"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9C16483"/>
    <w:multiLevelType w:val="hybridMultilevel"/>
    <w:tmpl w:val="5608CD8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6A4D5440"/>
    <w:multiLevelType w:val="multilevel"/>
    <w:tmpl w:val="D20C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1628683">
    <w:abstractNumId w:val="0"/>
  </w:num>
  <w:num w:numId="2" w16cid:durableId="13118348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2129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E6"/>
    <w:rsid w:val="000472E6"/>
    <w:rsid w:val="000D16DF"/>
    <w:rsid w:val="002C55D2"/>
    <w:rsid w:val="005E5E7E"/>
    <w:rsid w:val="009A647C"/>
    <w:rsid w:val="00CA3C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32C2"/>
  <w15:chartTrackingRefBased/>
  <w15:docId w15:val="{6D5F111E-5D4F-4B39-8C73-9748BF683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47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47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472E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472E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472E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472E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472E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472E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472E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72E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472E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472E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472E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472E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472E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472E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472E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472E6"/>
    <w:rPr>
      <w:rFonts w:eastAsiaTheme="majorEastAsia" w:cstheme="majorBidi"/>
      <w:color w:val="272727" w:themeColor="text1" w:themeTint="D8"/>
    </w:rPr>
  </w:style>
  <w:style w:type="paragraph" w:styleId="Titel">
    <w:name w:val="Title"/>
    <w:basedOn w:val="Normal"/>
    <w:next w:val="Normal"/>
    <w:link w:val="TitelTegn"/>
    <w:uiPriority w:val="10"/>
    <w:qFormat/>
    <w:rsid w:val="00047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472E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472E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472E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472E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472E6"/>
    <w:rPr>
      <w:i/>
      <w:iCs/>
      <w:color w:val="404040" w:themeColor="text1" w:themeTint="BF"/>
    </w:rPr>
  </w:style>
  <w:style w:type="paragraph" w:styleId="Listeafsnit">
    <w:name w:val="List Paragraph"/>
    <w:basedOn w:val="Normal"/>
    <w:uiPriority w:val="34"/>
    <w:qFormat/>
    <w:rsid w:val="000472E6"/>
    <w:pPr>
      <w:ind w:left="720"/>
      <w:contextualSpacing/>
    </w:pPr>
  </w:style>
  <w:style w:type="character" w:styleId="Kraftigfremhvning">
    <w:name w:val="Intense Emphasis"/>
    <w:basedOn w:val="Standardskrifttypeiafsnit"/>
    <w:uiPriority w:val="21"/>
    <w:qFormat/>
    <w:rsid w:val="000472E6"/>
    <w:rPr>
      <w:i/>
      <w:iCs/>
      <w:color w:val="0F4761" w:themeColor="accent1" w:themeShade="BF"/>
    </w:rPr>
  </w:style>
  <w:style w:type="paragraph" w:styleId="Strktcitat">
    <w:name w:val="Intense Quote"/>
    <w:basedOn w:val="Normal"/>
    <w:next w:val="Normal"/>
    <w:link w:val="StrktcitatTegn"/>
    <w:uiPriority w:val="30"/>
    <w:qFormat/>
    <w:rsid w:val="00047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472E6"/>
    <w:rPr>
      <w:i/>
      <w:iCs/>
      <w:color w:val="0F4761" w:themeColor="accent1" w:themeShade="BF"/>
    </w:rPr>
  </w:style>
  <w:style w:type="character" w:styleId="Kraftighenvisning">
    <w:name w:val="Intense Reference"/>
    <w:basedOn w:val="Standardskrifttypeiafsnit"/>
    <w:uiPriority w:val="32"/>
    <w:qFormat/>
    <w:rsid w:val="00047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779</Words>
  <Characters>4754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3</cp:revision>
  <dcterms:created xsi:type="dcterms:W3CDTF">2025-11-20T14:28:00Z</dcterms:created>
  <dcterms:modified xsi:type="dcterms:W3CDTF">2025-11-20T14:47:00Z</dcterms:modified>
</cp:coreProperties>
</file>