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79D75" w14:textId="77777777" w:rsidR="00F75D7B" w:rsidRPr="00B61E50" w:rsidRDefault="00F75D7B" w:rsidP="00F75D7B">
      <w:pPr>
        <w:rPr>
          <w:b/>
          <w:sz w:val="36"/>
          <w:szCs w:val="36"/>
        </w:rPr>
      </w:pPr>
      <w:r w:rsidRPr="00B61E50">
        <w:rPr>
          <w:b/>
          <w:sz w:val="36"/>
          <w:szCs w:val="36"/>
        </w:rPr>
        <w:t xml:space="preserve">Ibn </w:t>
      </w:r>
      <w:proofErr w:type="spellStart"/>
      <w:r w:rsidRPr="00B61E50">
        <w:rPr>
          <w:b/>
          <w:sz w:val="36"/>
          <w:szCs w:val="36"/>
        </w:rPr>
        <w:t>Fadlan</w:t>
      </w:r>
      <w:proofErr w:type="spellEnd"/>
      <w:r w:rsidRPr="00B61E50">
        <w:rPr>
          <w:b/>
          <w:sz w:val="36"/>
          <w:szCs w:val="36"/>
        </w:rPr>
        <w:t xml:space="preserve"> om vikingerne, ca. 922</w:t>
      </w:r>
    </w:p>
    <w:p w14:paraId="59608E1C" w14:textId="77777777" w:rsidR="00F75D7B" w:rsidRPr="00062312" w:rsidRDefault="00F75D7B" w:rsidP="00F75D7B">
      <w:pPr>
        <w:rPr>
          <w:iCs/>
          <w:sz w:val="16"/>
          <w:szCs w:val="16"/>
        </w:rPr>
      </w:pPr>
      <w:r w:rsidRPr="0062385E">
        <w:rPr>
          <w:i/>
          <w:iCs/>
        </w:rPr>
        <w:t xml:space="preserve">Et af de ældste vikingeportrætter stammer fra den arabiske diplomat og rejsende Ibn </w:t>
      </w:r>
      <w:proofErr w:type="spellStart"/>
      <w:r w:rsidRPr="0062385E">
        <w:rPr>
          <w:i/>
          <w:iCs/>
        </w:rPr>
        <w:t>Fadlan</w:t>
      </w:r>
      <w:proofErr w:type="spellEnd"/>
      <w:r w:rsidRPr="0062385E">
        <w:rPr>
          <w:i/>
          <w:iCs/>
        </w:rPr>
        <w:t xml:space="preserve">. Han var medlem af en delegation, der i 921-922 blev sendt fra kalifatets hovedstad i Bagdad til Volgaområdet i det nuværende Rusland. Efter hans hjemkomst nedfældede Ibn </w:t>
      </w:r>
      <w:proofErr w:type="spellStart"/>
      <w:r w:rsidRPr="0062385E">
        <w:rPr>
          <w:i/>
          <w:iCs/>
        </w:rPr>
        <w:t>Fadlan</w:t>
      </w:r>
      <w:proofErr w:type="spellEnd"/>
      <w:r w:rsidRPr="0062385E">
        <w:rPr>
          <w:i/>
          <w:iCs/>
        </w:rPr>
        <w:t xml:space="preserve"> sine oplevelser, hvor blandt andet mødet med et folk han kalder "Rus" havde gjort særligt indtryk. Dette folk var formentlig nordiske vikinger på handelsrejse ved Volga.</w:t>
      </w:r>
      <w:r w:rsidRPr="0062385E">
        <w:rPr>
          <w:iCs/>
        </w:rPr>
        <w:t xml:space="preserve"> </w:t>
      </w:r>
      <w:r w:rsidRPr="00062312">
        <w:rPr>
          <w:iCs/>
          <w:sz w:val="16"/>
          <w:szCs w:val="16"/>
        </w:rPr>
        <w:t xml:space="preserve">Fra </w:t>
      </w:r>
      <w:hyperlink r:id="rId8" w:history="1">
        <w:r w:rsidRPr="00062312">
          <w:rPr>
            <w:rStyle w:val="Hyperlink"/>
            <w:iCs/>
            <w:sz w:val="16"/>
            <w:szCs w:val="16"/>
          </w:rPr>
          <w:t>http://natmus.dk/salg-og-ydelser/undervisning-og-undervisningsmateriale/undervisningsmaterialer/ungdomsuddannelserne/danmarks-oldtid/kilder/ibn-fadlan/</w:t>
        </w:r>
      </w:hyperlink>
      <w:r w:rsidRPr="00062312">
        <w:rPr>
          <w:iCs/>
          <w:sz w:val="16"/>
          <w:szCs w:val="16"/>
        </w:rPr>
        <w:t xml:space="preserve"> </w:t>
      </w:r>
    </w:p>
    <w:p w14:paraId="6838A4B5" w14:textId="77777777" w:rsidR="0029073E" w:rsidRDefault="0029073E" w:rsidP="00F75D7B">
      <w:pPr>
        <w:sectPr w:rsidR="0029073E" w:rsidSect="00AA2A4E">
          <w:headerReference w:type="default" r:id="rId9"/>
          <w:type w:val="continuous"/>
          <w:pgSz w:w="11906" w:h="16838"/>
          <w:pgMar w:top="1701" w:right="1134" w:bottom="1701" w:left="1134" w:header="709" w:footer="709" w:gutter="0"/>
          <w:cols w:space="708"/>
          <w:docGrid w:linePitch="360"/>
        </w:sectPr>
      </w:pPr>
    </w:p>
    <w:p w14:paraId="60139A1B" w14:textId="77777777" w:rsidR="00F75D7B" w:rsidRPr="0062385E" w:rsidRDefault="00F75D7B" w:rsidP="00F75D7B">
      <w:r w:rsidRPr="0062385E">
        <w:t>De er de mest skidne</w:t>
      </w:r>
      <w:r w:rsidR="005A540C">
        <w:rPr>
          <w:rStyle w:val="Fodnotehenvisning"/>
        </w:rPr>
        <w:footnoteReference w:id="1"/>
      </w:r>
      <w:r w:rsidRPr="0062385E">
        <w:t xml:space="preserve"> af Guds skabninger. De gør sig ikke rene efter [at have udtømt] ekskre</w:t>
      </w:r>
      <w:r w:rsidR="0060533E" w:rsidRPr="0062385E">
        <w:softHyphen/>
      </w:r>
      <w:r w:rsidRPr="0062385E">
        <w:t>men</w:t>
      </w:r>
      <w:r w:rsidR="0060533E" w:rsidRPr="0062385E">
        <w:softHyphen/>
      </w:r>
      <w:r w:rsidRPr="0062385E">
        <w:t>terne og ikke efter at have ladt vandet, og de vasker sig ikke efter sædudtømning. De vasker heller ikke deres hæn</w:t>
      </w:r>
      <w:r w:rsidR="00C05627">
        <w:softHyphen/>
      </w:r>
      <w:r w:rsidRPr="0062385E">
        <w:t>der efter måltidet. Ja, de er som vildfarne æsler. De kommer fra deres land, og læg</w:t>
      </w:r>
      <w:r w:rsidR="0060533E" w:rsidRPr="0062385E">
        <w:softHyphen/>
      </w:r>
      <w:r w:rsidRPr="0062385E">
        <w:t xml:space="preserve">ger deres skibe til langs </w:t>
      </w:r>
      <w:proofErr w:type="spellStart"/>
      <w:r w:rsidRPr="0062385E">
        <w:t>Atul</w:t>
      </w:r>
      <w:proofErr w:type="spellEnd"/>
      <w:r w:rsidRPr="0062385E">
        <w:t>, som er en stor flod og bygger på dens bred store huse af træ. I et hus samler de sig ti eller tyve perso</w:t>
      </w:r>
      <w:r w:rsidR="00C05627">
        <w:softHyphen/>
      </w:r>
      <w:r w:rsidRPr="0062385E">
        <w:t>ner, eller færre eller flere. Hver af dem har en bænk som han sidder på, og sammen med ham sidder de smukke piger</w:t>
      </w:r>
      <w:r w:rsidRPr="0062385E">
        <w:rPr>
          <w:rStyle w:val="Fodnotehenvisning"/>
        </w:rPr>
        <w:footnoteReference w:id="2"/>
      </w:r>
      <w:r w:rsidRPr="0062385E">
        <w:t>, som er bestemt for købmændene. Og han har omgang med</w:t>
      </w:r>
      <w:r w:rsidR="00D14F1F">
        <w:rPr>
          <w:rStyle w:val="Fodnotehenvisning"/>
        </w:rPr>
        <w:footnoteReference w:id="3"/>
      </w:r>
      <w:r w:rsidRPr="0062385E">
        <w:t xml:space="preserve"> sin pige, mens hans kamme</w:t>
      </w:r>
      <w:r w:rsidR="00C05627">
        <w:softHyphen/>
      </w:r>
      <w:r w:rsidRPr="0062385E">
        <w:t>rater ser ham. Ofte hænder det, at de alle er i gang med dette, den ene for øjnene af den anden, og der kommer en købmand for at købe en pige af en af dem. Han møder ham så, mens han har samleje med hende, og han lader hende ikke være, førend han har nået sin hensigt.</w:t>
      </w:r>
      <w:r w:rsidRPr="0062385E">
        <w:br/>
      </w:r>
      <w:r w:rsidRPr="0062385E">
        <w:br/>
        <w:t>De er nødt til at vaske deres ansigter og hoveder hver dag i vand, som er så skident og urent, som det er muligt. Det foregår således: Pigen kommer hver morgen tidligt og har et stort fad vand med. Dette rækker hun til sin herre og så vasker han sine hænder, ansigt og hår deri, han både vasker det og kæmmer det i karret. Derpå snyder han næsen og spytter i det. Der bliver ikke noget skidt tilbage, som han ikke får med i vandet. Når han så er færdig med hvad der er nødvendigt, bærer pigen karret til hans sidemand, og han gør det samme som kammeraten har gjort. Hun holder ikke op med at bære det fra den ene til den anden, førend hun har ladet det gå på omgang til alle, som er i huset, idet hver af dem snyder næsen, spytter og vasker sit ansigt og hår deri.</w:t>
      </w:r>
      <w:r w:rsidR="0060533E" w:rsidRPr="0062385E">
        <w:t xml:space="preserve"> </w:t>
      </w:r>
      <w:r w:rsidRPr="0062385E">
        <w:t>(…)</w:t>
      </w:r>
    </w:p>
    <w:p w14:paraId="6B0BDC4A" w14:textId="77777777" w:rsidR="00F75D7B" w:rsidRPr="0062385E" w:rsidRDefault="00F75D7B" w:rsidP="00F75D7B">
      <w:r w:rsidRPr="0062385E">
        <w:t xml:space="preserve">Så snart deres skibe var kommet til ankerpladsen gik hver af dem i land, havde brød, kød, løg, mælk, </w:t>
      </w:r>
      <w:proofErr w:type="spellStart"/>
      <w:r w:rsidRPr="0062385E">
        <w:t>nabid</w:t>
      </w:r>
      <w:proofErr w:type="spellEnd"/>
      <w:r w:rsidRPr="0062385E">
        <w:rPr>
          <w:rStyle w:val="Fodnotehenvisning"/>
        </w:rPr>
        <w:footnoteReference w:id="4"/>
      </w:r>
      <w:r w:rsidRPr="0062385E">
        <w:t xml:space="preserve"> med sig og gik hen til en høj træstøtte med et ansigt som ser ud som et menneske</w:t>
      </w:r>
      <w:r w:rsidR="0060533E" w:rsidRPr="0062385E">
        <w:softHyphen/>
      </w:r>
      <w:r w:rsidRPr="0062385E">
        <w:t>ansigt. Rundt omkring den er der små figurer, og bag disse figurer høje træstøtter, som er sat ned i jorden. Han går så hen til den store figur, kaster sig på jorden og siger: "O min Herre, jeg er kom</w:t>
      </w:r>
      <w:r w:rsidR="0060533E" w:rsidRPr="0062385E">
        <w:softHyphen/>
      </w:r>
      <w:r w:rsidRPr="0062385E">
        <w:t xml:space="preserve">met langvejs fra med så og så mange piger - her opregner han alle de varer han har taget med - jeg kommer nu til dig med denne offergave." Derpå lægger han det han har med sig foran træstøtten. "Jeg ønsker, at du skaffer mig en købmand som har mange dinarer og </w:t>
      </w:r>
      <w:proofErr w:type="spellStart"/>
      <w:r w:rsidRPr="0062385E">
        <w:t>dirhemer</w:t>
      </w:r>
      <w:proofErr w:type="spellEnd"/>
      <w:r w:rsidRPr="0062385E">
        <w:t xml:space="preserve">, og som køber af mig således som jeg ønsker, og som ikke siger mig imod." Så går han væk. Og hvis handelen går trægt for ham, og tiden trækker ud, går han tilbage med yderligere en eller to offergaver. Bliver hans forehavende vanskeligt, bærer han en offergave til hver af de små figurer og </w:t>
      </w:r>
      <w:proofErr w:type="spellStart"/>
      <w:r w:rsidRPr="0062385E">
        <w:t>ber</w:t>
      </w:r>
      <w:proofErr w:type="spellEnd"/>
      <w:r w:rsidRPr="0062385E">
        <w:t xml:space="preserve"> dem om forbøn, idet han siger: "Disse er vor Herres hustruer, døtre og sønner." Så bønfalder han længe den ene figur efter den anden, idet han beder til den og vil have den til at gå i forbøn for sig og ydmyger sig for den. Ofte går handelen let for ham, så han får salg i stand. Da siger han: "Min Herre har opfyldt mit </w:t>
      </w:r>
      <w:r w:rsidRPr="0062385E">
        <w:lastRenderedPageBreak/>
        <w:t>behov, nu er det min pligt at gengælde ham." Så går han hen til nogle får eller noget kvæg og dræber det. Noget af kødet giver han som almisse. Resten bærer han hen og kaster det mellem den store træstøtte og de små, som er rundt om den. Hovedet af kvæget og fårene hænger han på den træstøtte, som er sat ned i jorden. Og når det bliver nat, kommer hundene og æder det hele. Han som har udført dette siger da: "Visselig har min Herre behag for mig og har spist min offergave."</w:t>
      </w:r>
      <w:r w:rsidR="0060533E" w:rsidRPr="0062385E">
        <w:t xml:space="preserve"> </w:t>
      </w:r>
      <w:r w:rsidRPr="0062385E">
        <w:t>(…)</w:t>
      </w:r>
    </w:p>
    <w:p w14:paraId="410F04F5" w14:textId="77777777" w:rsidR="003B4624" w:rsidRPr="00610E06" w:rsidRDefault="003B4624" w:rsidP="00C80351">
      <w:pPr>
        <w:spacing w:before="100" w:beforeAutospacing="1" w:after="100" w:afterAutospacing="1"/>
        <w:outlineLvl w:val="0"/>
        <w:rPr>
          <w:rFonts w:eastAsia="Times New Roman" w:cs="Times New Roman"/>
          <w:b/>
          <w:bCs/>
          <w:kern w:val="36"/>
          <w:sz w:val="36"/>
          <w:szCs w:val="36"/>
          <w:lang w:eastAsia="da-DK"/>
        </w:rPr>
      </w:pPr>
      <w:r w:rsidRPr="00610E06">
        <w:rPr>
          <w:rFonts w:eastAsia="Times New Roman" w:cs="Times New Roman"/>
          <w:b/>
          <w:bCs/>
          <w:kern w:val="36"/>
          <w:sz w:val="36"/>
          <w:szCs w:val="36"/>
          <w:lang w:eastAsia="da-DK"/>
        </w:rPr>
        <w:t>Den angelsaksiske Krønike 787-954</w:t>
      </w:r>
    </w:p>
    <w:p w14:paraId="783E116E" w14:textId="77777777" w:rsidR="003B4624" w:rsidRPr="0062385E" w:rsidRDefault="003B4624" w:rsidP="0062385E">
      <w:pPr>
        <w:spacing w:before="100" w:beforeAutospacing="1" w:after="100" w:afterAutospacing="1"/>
        <w:rPr>
          <w:rStyle w:val="Strk"/>
          <w:rFonts w:eastAsia="Times New Roman" w:cs="Times New Roman"/>
          <w:b w:val="0"/>
          <w:bCs w:val="0"/>
          <w:i/>
          <w:lang w:eastAsia="da-DK"/>
        </w:rPr>
      </w:pPr>
      <w:r w:rsidRPr="00610E06">
        <w:rPr>
          <w:rFonts w:eastAsia="Times New Roman" w:cs="Times New Roman"/>
          <w:i/>
          <w:lang w:eastAsia="da-DK"/>
        </w:rPr>
        <w:t>Den angelsaksiske Krønike er en af de vigtigste kilder til vikingernes færden i England og generelt til forholdene i England i vikingetiden.</w:t>
      </w:r>
      <w:r w:rsidRPr="0062385E">
        <w:rPr>
          <w:rFonts w:eastAsia="Times New Roman" w:cs="Times New Roman"/>
          <w:i/>
          <w:lang w:eastAsia="da-DK"/>
        </w:rPr>
        <w:t xml:space="preserve"> </w:t>
      </w:r>
      <w:r w:rsidRPr="0062385E">
        <w:rPr>
          <w:i/>
        </w:rPr>
        <w:t xml:space="preserve">Krønikens forfattere eller skrivere er anonyme. Her fra </w:t>
      </w:r>
      <w:hyperlink r:id="rId10" w:history="1">
        <w:r w:rsidRPr="0062385E">
          <w:rPr>
            <w:rStyle w:val="Hyperlink"/>
            <w:i/>
          </w:rPr>
          <w:t>http://danmarkshistorien.dk/leksikon-og-kilder/vis/materiale/den-angelsaksiske-kroenike-787-954/</w:t>
        </w:r>
      </w:hyperlink>
      <w:r w:rsidRPr="0062385E">
        <w:rPr>
          <w:i/>
        </w:rPr>
        <w:t xml:space="preserve"> </w:t>
      </w:r>
    </w:p>
    <w:p w14:paraId="002F8E6B" w14:textId="22E46CA2" w:rsidR="003B4624" w:rsidRPr="0062385E" w:rsidRDefault="003B4624" w:rsidP="003B4624">
      <w:pPr>
        <w:pStyle w:val="NormalWeb"/>
        <w:spacing w:line="276" w:lineRule="auto"/>
        <w:rPr>
          <w:rFonts w:asciiTheme="minorHAnsi" w:hAnsiTheme="minorHAnsi"/>
          <w:sz w:val="22"/>
          <w:szCs w:val="22"/>
        </w:rPr>
      </w:pPr>
      <w:r w:rsidRPr="0062385E">
        <w:rPr>
          <w:rStyle w:val="Strk"/>
          <w:rFonts w:asciiTheme="minorHAnsi" w:hAnsiTheme="minorHAnsi"/>
          <w:sz w:val="22"/>
          <w:szCs w:val="22"/>
        </w:rPr>
        <w:t>787</w:t>
      </w:r>
      <w:r w:rsidR="00EA54B0">
        <w:rPr>
          <w:rStyle w:val="Fodnotehenvisning"/>
          <w:rFonts w:asciiTheme="minorHAnsi" w:hAnsiTheme="minorHAnsi"/>
          <w:b/>
          <w:bCs/>
          <w:sz w:val="22"/>
          <w:szCs w:val="22"/>
        </w:rPr>
        <w:footnoteReference w:id="5"/>
      </w:r>
      <w:r w:rsidRPr="0062385E">
        <w:rPr>
          <w:rStyle w:val="Strk"/>
          <w:rFonts w:asciiTheme="minorHAnsi" w:hAnsiTheme="minorHAnsi"/>
          <w:sz w:val="22"/>
          <w:szCs w:val="22"/>
        </w:rPr>
        <w:t>.</w:t>
      </w:r>
      <w:r w:rsidRPr="0062385E">
        <w:rPr>
          <w:rFonts w:asciiTheme="minorHAnsi" w:hAnsiTheme="minorHAnsi"/>
          <w:sz w:val="22"/>
          <w:szCs w:val="22"/>
        </w:rPr>
        <w:t xml:space="preserve"> Her ægtede Kong </w:t>
      </w:r>
      <w:proofErr w:type="spellStart"/>
      <w:r w:rsidRPr="0062385E">
        <w:rPr>
          <w:rFonts w:asciiTheme="minorHAnsi" w:hAnsiTheme="minorHAnsi"/>
          <w:sz w:val="22"/>
          <w:szCs w:val="22"/>
        </w:rPr>
        <w:t>Breohtric</w:t>
      </w:r>
      <w:proofErr w:type="spellEnd"/>
      <w:r w:rsidRPr="0062385E">
        <w:rPr>
          <w:rFonts w:asciiTheme="minorHAnsi" w:hAnsiTheme="minorHAnsi"/>
          <w:sz w:val="22"/>
          <w:szCs w:val="22"/>
        </w:rPr>
        <w:t xml:space="preserve"> </w:t>
      </w:r>
      <w:proofErr w:type="spellStart"/>
      <w:r w:rsidRPr="0062385E">
        <w:rPr>
          <w:rFonts w:asciiTheme="minorHAnsi" w:hAnsiTheme="minorHAnsi"/>
          <w:sz w:val="22"/>
          <w:szCs w:val="22"/>
        </w:rPr>
        <w:t>Offas</w:t>
      </w:r>
      <w:proofErr w:type="spellEnd"/>
      <w:r w:rsidRPr="0062385E">
        <w:rPr>
          <w:rFonts w:asciiTheme="minorHAnsi" w:hAnsiTheme="minorHAnsi"/>
          <w:sz w:val="22"/>
          <w:szCs w:val="22"/>
        </w:rPr>
        <w:t xml:space="preserve"> Datter </w:t>
      </w:r>
      <w:proofErr w:type="spellStart"/>
      <w:r w:rsidRPr="0062385E">
        <w:rPr>
          <w:rFonts w:asciiTheme="minorHAnsi" w:hAnsiTheme="minorHAnsi"/>
          <w:sz w:val="22"/>
          <w:szCs w:val="22"/>
        </w:rPr>
        <w:t>Eadburg</w:t>
      </w:r>
      <w:proofErr w:type="spellEnd"/>
      <w:r w:rsidRPr="0062385E">
        <w:rPr>
          <w:rFonts w:asciiTheme="minorHAnsi" w:hAnsiTheme="minorHAnsi"/>
          <w:sz w:val="22"/>
          <w:szCs w:val="22"/>
        </w:rPr>
        <w:t xml:space="preserve">, og i hans Tid kom for første Gang 4 Skibe med Normanner fra </w:t>
      </w:r>
      <w:proofErr w:type="spellStart"/>
      <w:r w:rsidRPr="0062385E">
        <w:rPr>
          <w:rFonts w:asciiTheme="minorHAnsi" w:hAnsiTheme="minorHAnsi"/>
          <w:sz w:val="22"/>
          <w:szCs w:val="22"/>
        </w:rPr>
        <w:t>Horðaland</w:t>
      </w:r>
      <w:proofErr w:type="spellEnd"/>
      <w:r w:rsidRPr="0062385E">
        <w:rPr>
          <w:rFonts w:asciiTheme="minorHAnsi" w:hAnsiTheme="minorHAnsi"/>
          <w:sz w:val="22"/>
          <w:szCs w:val="22"/>
        </w:rPr>
        <w:t xml:space="preserve">. </w:t>
      </w:r>
      <w:proofErr w:type="spellStart"/>
      <w:r w:rsidRPr="0062385E">
        <w:rPr>
          <w:rFonts w:asciiTheme="minorHAnsi" w:hAnsiTheme="minorHAnsi"/>
          <w:sz w:val="22"/>
          <w:szCs w:val="22"/>
        </w:rPr>
        <w:t>Saa</w:t>
      </w:r>
      <w:proofErr w:type="spellEnd"/>
      <w:r w:rsidRPr="0062385E">
        <w:rPr>
          <w:rFonts w:asciiTheme="minorHAnsi" w:hAnsiTheme="minorHAnsi"/>
          <w:sz w:val="22"/>
          <w:szCs w:val="22"/>
        </w:rPr>
        <w:t xml:space="preserve"> red Fogeden derhen, og han vilde drive dem til </w:t>
      </w:r>
      <w:proofErr w:type="spellStart"/>
      <w:r w:rsidRPr="0062385E">
        <w:rPr>
          <w:rFonts w:asciiTheme="minorHAnsi" w:hAnsiTheme="minorHAnsi"/>
          <w:sz w:val="22"/>
          <w:szCs w:val="22"/>
        </w:rPr>
        <w:t>Kongsgaarden</w:t>
      </w:r>
      <w:proofErr w:type="spellEnd"/>
      <w:r w:rsidRPr="0062385E">
        <w:rPr>
          <w:rFonts w:asciiTheme="minorHAnsi" w:hAnsiTheme="minorHAnsi"/>
          <w:sz w:val="22"/>
          <w:szCs w:val="22"/>
        </w:rPr>
        <w:t xml:space="preserve">, fordi han ikke vidste, hvem det var, men de slog ham ihjel. Det var de første Skibe med danske Mænd, som angreb England. </w:t>
      </w:r>
    </w:p>
    <w:p w14:paraId="3B775040" w14:textId="77777777" w:rsidR="003B4624" w:rsidRPr="0062385E" w:rsidRDefault="003B4624" w:rsidP="003B4624">
      <w:pPr>
        <w:pStyle w:val="NormalWeb"/>
        <w:spacing w:line="276" w:lineRule="auto"/>
        <w:rPr>
          <w:rFonts w:asciiTheme="minorHAnsi" w:hAnsiTheme="minorHAnsi"/>
          <w:sz w:val="22"/>
          <w:szCs w:val="22"/>
        </w:rPr>
      </w:pPr>
      <w:r w:rsidRPr="0062385E">
        <w:rPr>
          <w:rStyle w:val="Strk"/>
          <w:rFonts w:asciiTheme="minorHAnsi" w:hAnsiTheme="minorHAnsi"/>
          <w:sz w:val="22"/>
          <w:szCs w:val="22"/>
        </w:rPr>
        <w:t>793.</w:t>
      </w:r>
      <w:r w:rsidRPr="0062385E">
        <w:rPr>
          <w:rFonts w:asciiTheme="minorHAnsi" w:hAnsiTheme="minorHAnsi"/>
          <w:sz w:val="22"/>
          <w:szCs w:val="22"/>
        </w:rPr>
        <w:t xml:space="preserve"> Her kom frygtelige Jærtegn</w:t>
      </w:r>
      <w:r w:rsidR="00B61E50">
        <w:rPr>
          <w:rStyle w:val="Fodnotehenvisning"/>
          <w:rFonts w:asciiTheme="minorHAnsi" w:hAnsiTheme="minorHAnsi"/>
          <w:sz w:val="22"/>
          <w:szCs w:val="22"/>
        </w:rPr>
        <w:footnoteReference w:id="6"/>
      </w:r>
      <w:r w:rsidRPr="0062385E">
        <w:rPr>
          <w:rFonts w:asciiTheme="minorHAnsi" w:hAnsiTheme="minorHAnsi"/>
          <w:sz w:val="22"/>
          <w:szCs w:val="22"/>
        </w:rPr>
        <w:t xml:space="preserve"> over </w:t>
      </w:r>
      <w:proofErr w:type="spellStart"/>
      <w:r w:rsidRPr="0062385E">
        <w:rPr>
          <w:rFonts w:asciiTheme="minorHAnsi" w:hAnsiTheme="minorHAnsi"/>
          <w:sz w:val="22"/>
          <w:szCs w:val="22"/>
        </w:rPr>
        <w:t>Northummberland</w:t>
      </w:r>
      <w:proofErr w:type="spellEnd"/>
      <w:r w:rsidRPr="0062385E">
        <w:rPr>
          <w:rFonts w:asciiTheme="minorHAnsi" w:hAnsiTheme="minorHAnsi"/>
          <w:sz w:val="22"/>
          <w:szCs w:val="22"/>
        </w:rPr>
        <w:t xml:space="preserve"> og fik Befolkningen til at ryste af Skræk. Der viste sig vældige Lyn, og man </w:t>
      </w:r>
      <w:proofErr w:type="spellStart"/>
      <w:r w:rsidRPr="0062385E">
        <w:rPr>
          <w:rFonts w:asciiTheme="minorHAnsi" w:hAnsiTheme="minorHAnsi"/>
          <w:sz w:val="22"/>
          <w:szCs w:val="22"/>
        </w:rPr>
        <w:t>saa</w:t>
      </w:r>
      <w:proofErr w:type="spellEnd"/>
      <w:r w:rsidRPr="0062385E">
        <w:rPr>
          <w:rFonts w:asciiTheme="minorHAnsi" w:hAnsiTheme="minorHAnsi"/>
          <w:sz w:val="22"/>
          <w:szCs w:val="22"/>
        </w:rPr>
        <w:t xml:space="preserve"> </w:t>
      </w:r>
      <w:proofErr w:type="spellStart"/>
      <w:r w:rsidRPr="0062385E">
        <w:rPr>
          <w:rFonts w:asciiTheme="minorHAnsi" w:hAnsiTheme="minorHAnsi"/>
          <w:sz w:val="22"/>
          <w:szCs w:val="22"/>
        </w:rPr>
        <w:t>Ilddrager</w:t>
      </w:r>
      <w:proofErr w:type="spellEnd"/>
      <w:r w:rsidRPr="0062385E">
        <w:rPr>
          <w:rFonts w:asciiTheme="minorHAnsi" w:hAnsiTheme="minorHAnsi"/>
          <w:sz w:val="22"/>
          <w:szCs w:val="22"/>
        </w:rPr>
        <w:t xml:space="preserve"> flyve i Luften. Disse Tegn fulgtes hurtigt af stor </w:t>
      </w:r>
      <w:proofErr w:type="spellStart"/>
      <w:r w:rsidRPr="0062385E">
        <w:rPr>
          <w:rFonts w:asciiTheme="minorHAnsi" w:hAnsiTheme="minorHAnsi"/>
          <w:sz w:val="22"/>
          <w:szCs w:val="22"/>
        </w:rPr>
        <w:t>Hungers</w:t>
      </w:r>
      <w:r w:rsidRPr="0062385E">
        <w:rPr>
          <w:rFonts w:asciiTheme="minorHAnsi" w:hAnsiTheme="minorHAnsi"/>
          <w:sz w:val="22"/>
          <w:szCs w:val="22"/>
        </w:rPr>
        <w:softHyphen/>
        <w:t>snød</w:t>
      </w:r>
      <w:proofErr w:type="spellEnd"/>
      <w:r w:rsidRPr="0062385E">
        <w:rPr>
          <w:rFonts w:asciiTheme="minorHAnsi" w:hAnsiTheme="minorHAnsi"/>
          <w:sz w:val="22"/>
          <w:szCs w:val="22"/>
        </w:rPr>
        <w:t xml:space="preserve">. Kort efter, den 8. </w:t>
      </w:r>
      <w:proofErr w:type="gramStart"/>
      <w:r w:rsidRPr="0062385E">
        <w:rPr>
          <w:rFonts w:asciiTheme="minorHAnsi" w:hAnsiTheme="minorHAnsi"/>
          <w:sz w:val="22"/>
          <w:szCs w:val="22"/>
        </w:rPr>
        <w:t>Januar</w:t>
      </w:r>
      <w:proofErr w:type="gramEnd"/>
      <w:r w:rsidRPr="0062385E">
        <w:rPr>
          <w:rFonts w:asciiTheme="minorHAnsi" w:hAnsiTheme="minorHAnsi"/>
          <w:sz w:val="22"/>
          <w:szCs w:val="22"/>
        </w:rPr>
        <w:t xml:space="preserve"> samme </w:t>
      </w:r>
      <w:proofErr w:type="spellStart"/>
      <w:r w:rsidRPr="0062385E">
        <w:rPr>
          <w:rFonts w:asciiTheme="minorHAnsi" w:hAnsiTheme="minorHAnsi"/>
          <w:sz w:val="22"/>
          <w:szCs w:val="22"/>
        </w:rPr>
        <w:t>Aar</w:t>
      </w:r>
      <w:proofErr w:type="spellEnd"/>
      <w:r w:rsidRPr="0062385E">
        <w:rPr>
          <w:rFonts w:asciiTheme="minorHAnsi" w:hAnsiTheme="minorHAnsi"/>
          <w:sz w:val="22"/>
          <w:szCs w:val="22"/>
        </w:rPr>
        <w:t xml:space="preserve">, hændte den Ulykke, at Hedninger hærgede Guds Kirke </w:t>
      </w:r>
      <w:proofErr w:type="spellStart"/>
      <w:r w:rsidRPr="0062385E">
        <w:rPr>
          <w:rFonts w:asciiTheme="minorHAnsi" w:hAnsiTheme="minorHAnsi"/>
          <w:sz w:val="22"/>
          <w:szCs w:val="22"/>
        </w:rPr>
        <w:t>paa</w:t>
      </w:r>
      <w:proofErr w:type="spellEnd"/>
      <w:r w:rsidRPr="0062385E">
        <w:rPr>
          <w:rFonts w:asciiTheme="minorHAnsi" w:hAnsiTheme="minorHAnsi"/>
          <w:sz w:val="22"/>
          <w:szCs w:val="22"/>
        </w:rPr>
        <w:t xml:space="preserve"> Øen Lindisfarne, hvor de anrettede Ødelæggelser ved Plyndren og </w:t>
      </w:r>
      <w:proofErr w:type="spellStart"/>
      <w:r w:rsidRPr="0062385E">
        <w:rPr>
          <w:rFonts w:asciiTheme="minorHAnsi" w:hAnsiTheme="minorHAnsi"/>
          <w:sz w:val="22"/>
          <w:szCs w:val="22"/>
        </w:rPr>
        <w:t>Myrden</w:t>
      </w:r>
      <w:proofErr w:type="spellEnd"/>
      <w:r w:rsidRPr="0062385E">
        <w:rPr>
          <w:rFonts w:asciiTheme="minorHAnsi" w:hAnsiTheme="minorHAnsi"/>
          <w:sz w:val="22"/>
          <w:szCs w:val="22"/>
        </w:rPr>
        <w:t xml:space="preserve">. </w:t>
      </w:r>
      <w:proofErr w:type="spellStart"/>
      <w:r w:rsidRPr="0062385E">
        <w:rPr>
          <w:rFonts w:asciiTheme="minorHAnsi" w:hAnsiTheme="minorHAnsi"/>
          <w:sz w:val="22"/>
          <w:szCs w:val="22"/>
        </w:rPr>
        <w:t>Sicga</w:t>
      </w:r>
      <w:proofErr w:type="spellEnd"/>
      <w:r w:rsidRPr="0062385E">
        <w:rPr>
          <w:rFonts w:asciiTheme="minorHAnsi" w:hAnsiTheme="minorHAnsi"/>
          <w:sz w:val="22"/>
          <w:szCs w:val="22"/>
        </w:rPr>
        <w:t xml:space="preserve"> døde den 22. </w:t>
      </w:r>
      <w:proofErr w:type="gramStart"/>
      <w:r w:rsidRPr="0062385E">
        <w:rPr>
          <w:rFonts w:asciiTheme="minorHAnsi" w:hAnsiTheme="minorHAnsi"/>
          <w:sz w:val="22"/>
          <w:szCs w:val="22"/>
        </w:rPr>
        <w:t>Februar</w:t>
      </w:r>
      <w:proofErr w:type="gramEnd"/>
      <w:r w:rsidRPr="0062385E">
        <w:rPr>
          <w:rFonts w:asciiTheme="minorHAnsi" w:hAnsiTheme="minorHAnsi"/>
          <w:sz w:val="22"/>
          <w:szCs w:val="22"/>
        </w:rPr>
        <w:t xml:space="preserve">. </w:t>
      </w:r>
    </w:p>
    <w:p w14:paraId="6B4E75A0" w14:textId="1805C866" w:rsidR="003B4624" w:rsidRPr="0062385E" w:rsidRDefault="003B4624" w:rsidP="00644961">
      <w:pPr>
        <w:pStyle w:val="NormalWeb"/>
        <w:spacing w:line="276" w:lineRule="auto"/>
        <w:rPr>
          <w:rFonts w:asciiTheme="minorHAnsi" w:hAnsiTheme="minorHAnsi"/>
          <w:sz w:val="22"/>
          <w:szCs w:val="22"/>
        </w:rPr>
      </w:pPr>
      <w:r w:rsidRPr="0062385E">
        <w:rPr>
          <w:rStyle w:val="Strk"/>
          <w:rFonts w:asciiTheme="minorHAnsi" w:hAnsiTheme="minorHAnsi"/>
          <w:sz w:val="22"/>
          <w:szCs w:val="22"/>
        </w:rPr>
        <w:t>851.</w:t>
      </w:r>
      <w:r w:rsidRPr="0062385E">
        <w:rPr>
          <w:rFonts w:asciiTheme="minorHAnsi" w:hAnsiTheme="minorHAnsi"/>
          <w:sz w:val="22"/>
          <w:szCs w:val="22"/>
        </w:rPr>
        <w:t xml:space="preserve"> Her kæmpede </w:t>
      </w:r>
      <w:proofErr w:type="spellStart"/>
      <w:r w:rsidRPr="0062385E">
        <w:rPr>
          <w:rFonts w:asciiTheme="minorHAnsi" w:hAnsiTheme="minorHAnsi"/>
          <w:sz w:val="22"/>
          <w:szCs w:val="22"/>
        </w:rPr>
        <w:t>ealdorman</w:t>
      </w:r>
      <w:proofErr w:type="spellEnd"/>
      <w:r w:rsidR="002E6D3C">
        <w:rPr>
          <w:rStyle w:val="Fodnotehenvisning"/>
          <w:rFonts w:asciiTheme="minorHAnsi" w:hAnsiTheme="minorHAnsi"/>
          <w:sz w:val="22"/>
          <w:szCs w:val="22"/>
        </w:rPr>
        <w:footnoteReference w:id="7"/>
      </w:r>
      <w:r w:rsidRPr="0062385E">
        <w:rPr>
          <w:rFonts w:asciiTheme="minorHAnsi" w:hAnsiTheme="minorHAnsi"/>
          <w:sz w:val="22"/>
          <w:szCs w:val="22"/>
        </w:rPr>
        <w:t xml:space="preserve"> </w:t>
      </w:r>
      <w:proofErr w:type="spellStart"/>
      <w:r w:rsidRPr="0062385E">
        <w:rPr>
          <w:rFonts w:asciiTheme="minorHAnsi" w:hAnsiTheme="minorHAnsi"/>
          <w:sz w:val="22"/>
          <w:szCs w:val="22"/>
        </w:rPr>
        <w:t>Ceorl</w:t>
      </w:r>
      <w:proofErr w:type="spellEnd"/>
      <w:r w:rsidRPr="0062385E">
        <w:rPr>
          <w:rFonts w:asciiTheme="minorHAnsi" w:hAnsiTheme="minorHAnsi"/>
          <w:sz w:val="22"/>
          <w:szCs w:val="22"/>
        </w:rPr>
        <w:t xml:space="preserve"> sammen med Mænd fra </w:t>
      </w:r>
      <w:proofErr w:type="spellStart"/>
      <w:r w:rsidRPr="0062385E">
        <w:rPr>
          <w:rFonts w:asciiTheme="minorHAnsi" w:hAnsiTheme="minorHAnsi"/>
          <w:sz w:val="22"/>
          <w:szCs w:val="22"/>
        </w:rPr>
        <w:t>Devonshire</w:t>
      </w:r>
      <w:proofErr w:type="spellEnd"/>
      <w:r w:rsidRPr="0062385E">
        <w:rPr>
          <w:rFonts w:asciiTheme="minorHAnsi" w:hAnsiTheme="minorHAnsi"/>
          <w:sz w:val="22"/>
          <w:szCs w:val="22"/>
        </w:rPr>
        <w:t xml:space="preserve"> mod Hedningerne ved </w:t>
      </w:r>
      <w:proofErr w:type="spellStart"/>
      <w:r w:rsidRPr="0062385E">
        <w:rPr>
          <w:rFonts w:asciiTheme="minorHAnsi" w:hAnsiTheme="minorHAnsi"/>
          <w:sz w:val="22"/>
          <w:szCs w:val="22"/>
        </w:rPr>
        <w:t>Wicgeannbeorg</w:t>
      </w:r>
      <w:proofErr w:type="spellEnd"/>
      <w:r w:rsidRPr="0062385E">
        <w:rPr>
          <w:rFonts w:asciiTheme="minorHAnsi" w:hAnsiTheme="minorHAnsi"/>
          <w:sz w:val="22"/>
          <w:szCs w:val="22"/>
        </w:rPr>
        <w:t xml:space="preserve">, hvor han anrettede stort Blodbad og vandt Sejr. Hedninger slog sig ned </w:t>
      </w:r>
      <w:proofErr w:type="spellStart"/>
      <w:r w:rsidRPr="0062385E">
        <w:rPr>
          <w:rFonts w:asciiTheme="minorHAnsi" w:hAnsiTheme="minorHAnsi"/>
          <w:sz w:val="22"/>
          <w:szCs w:val="22"/>
        </w:rPr>
        <w:t>paa</w:t>
      </w:r>
      <w:proofErr w:type="spellEnd"/>
      <w:r w:rsidRPr="0062385E">
        <w:rPr>
          <w:rFonts w:asciiTheme="minorHAnsi" w:hAnsiTheme="minorHAnsi"/>
          <w:sz w:val="22"/>
          <w:szCs w:val="22"/>
        </w:rPr>
        <w:t xml:space="preserve"> </w:t>
      </w:r>
      <w:proofErr w:type="spellStart"/>
      <w:r w:rsidRPr="0062385E">
        <w:rPr>
          <w:rFonts w:asciiTheme="minorHAnsi" w:hAnsiTheme="minorHAnsi"/>
          <w:sz w:val="22"/>
          <w:szCs w:val="22"/>
        </w:rPr>
        <w:t>Tha</w:t>
      </w:r>
      <w:r w:rsidRPr="0062385E">
        <w:rPr>
          <w:rFonts w:asciiTheme="minorHAnsi" w:hAnsiTheme="minorHAnsi"/>
          <w:sz w:val="22"/>
          <w:szCs w:val="22"/>
        </w:rPr>
        <w:softHyphen/>
        <w:t>net</w:t>
      </w:r>
      <w:proofErr w:type="spellEnd"/>
      <w:r w:rsidR="006212EF">
        <w:rPr>
          <w:rStyle w:val="Fodnotehenvisning"/>
          <w:rFonts w:asciiTheme="minorHAnsi" w:hAnsiTheme="minorHAnsi"/>
          <w:sz w:val="22"/>
          <w:szCs w:val="22"/>
        </w:rPr>
        <w:footnoteReference w:id="8"/>
      </w:r>
      <w:r w:rsidRPr="0062385E">
        <w:rPr>
          <w:rFonts w:asciiTheme="minorHAnsi" w:hAnsiTheme="minorHAnsi"/>
          <w:sz w:val="22"/>
          <w:szCs w:val="22"/>
        </w:rPr>
        <w:t xml:space="preserve"> for Vinteren. I det samme </w:t>
      </w:r>
      <w:proofErr w:type="spellStart"/>
      <w:r w:rsidRPr="0062385E">
        <w:rPr>
          <w:rFonts w:asciiTheme="minorHAnsi" w:hAnsiTheme="minorHAnsi"/>
          <w:sz w:val="22"/>
          <w:szCs w:val="22"/>
        </w:rPr>
        <w:t>Aar</w:t>
      </w:r>
      <w:proofErr w:type="spellEnd"/>
      <w:r w:rsidRPr="0062385E">
        <w:rPr>
          <w:rFonts w:asciiTheme="minorHAnsi" w:hAnsiTheme="minorHAnsi"/>
          <w:sz w:val="22"/>
          <w:szCs w:val="22"/>
        </w:rPr>
        <w:t xml:space="preserve"> kom 350 Skibe til Themsmundingen</w:t>
      </w:r>
      <w:r w:rsidR="00122C9E">
        <w:rPr>
          <w:rStyle w:val="Fodnotehenvisning"/>
          <w:rFonts w:asciiTheme="minorHAnsi" w:hAnsiTheme="minorHAnsi"/>
          <w:sz w:val="22"/>
          <w:szCs w:val="22"/>
        </w:rPr>
        <w:footnoteReference w:id="9"/>
      </w:r>
      <w:r w:rsidRPr="0062385E">
        <w:rPr>
          <w:rFonts w:asciiTheme="minorHAnsi" w:hAnsiTheme="minorHAnsi"/>
          <w:sz w:val="22"/>
          <w:szCs w:val="22"/>
        </w:rPr>
        <w:t>. De stormede Canter</w:t>
      </w:r>
      <w:r w:rsidRPr="0062385E">
        <w:rPr>
          <w:rFonts w:asciiTheme="minorHAnsi" w:hAnsiTheme="minorHAnsi"/>
          <w:sz w:val="22"/>
          <w:szCs w:val="22"/>
        </w:rPr>
        <w:softHyphen/>
        <w:t xml:space="preserve">bury og slog Kong </w:t>
      </w:r>
      <w:proofErr w:type="spellStart"/>
      <w:r w:rsidRPr="0062385E">
        <w:rPr>
          <w:rFonts w:asciiTheme="minorHAnsi" w:hAnsiTheme="minorHAnsi"/>
          <w:sz w:val="22"/>
          <w:szCs w:val="22"/>
        </w:rPr>
        <w:t>Brihtwulf</w:t>
      </w:r>
      <w:proofErr w:type="spellEnd"/>
      <w:r w:rsidRPr="0062385E">
        <w:rPr>
          <w:rFonts w:asciiTheme="minorHAnsi" w:hAnsiTheme="minorHAnsi"/>
          <w:sz w:val="22"/>
          <w:szCs w:val="22"/>
        </w:rPr>
        <w:t xml:space="preserve"> af </w:t>
      </w:r>
      <w:proofErr w:type="spellStart"/>
      <w:r w:rsidRPr="0062385E">
        <w:rPr>
          <w:rFonts w:asciiTheme="minorHAnsi" w:hAnsiTheme="minorHAnsi"/>
          <w:sz w:val="22"/>
          <w:szCs w:val="22"/>
        </w:rPr>
        <w:t>Mercien</w:t>
      </w:r>
      <w:proofErr w:type="spellEnd"/>
      <w:r w:rsidRPr="0062385E">
        <w:rPr>
          <w:rFonts w:asciiTheme="minorHAnsi" w:hAnsiTheme="minorHAnsi"/>
          <w:sz w:val="22"/>
          <w:szCs w:val="22"/>
        </w:rPr>
        <w:t xml:space="preserve"> med hans Hær </w:t>
      </w:r>
      <w:proofErr w:type="spellStart"/>
      <w:r w:rsidRPr="0062385E">
        <w:rPr>
          <w:rFonts w:asciiTheme="minorHAnsi" w:hAnsiTheme="minorHAnsi"/>
          <w:sz w:val="22"/>
          <w:szCs w:val="22"/>
        </w:rPr>
        <w:t>paa</w:t>
      </w:r>
      <w:proofErr w:type="spellEnd"/>
      <w:r w:rsidRPr="0062385E">
        <w:rPr>
          <w:rFonts w:asciiTheme="minorHAnsi" w:hAnsiTheme="minorHAnsi"/>
          <w:sz w:val="22"/>
          <w:szCs w:val="22"/>
        </w:rPr>
        <w:t xml:space="preserve"> Flugt. </w:t>
      </w:r>
      <w:proofErr w:type="spellStart"/>
      <w:r w:rsidRPr="0062385E">
        <w:rPr>
          <w:rFonts w:asciiTheme="minorHAnsi" w:hAnsiTheme="minorHAnsi"/>
          <w:sz w:val="22"/>
          <w:szCs w:val="22"/>
        </w:rPr>
        <w:t>Saa</w:t>
      </w:r>
      <w:proofErr w:type="spellEnd"/>
      <w:r w:rsidRPr="0062385E">
        <w:rPr>
          <w:rFonts w:asciiTheme="minorHAnsi" w:hAnsiTheme="minorHAnsi"/>
          <w:sz w:val="22"/>
          <w:szCs w:val="22"/>
        </w:rPr>
        <w:t xml:space="preserve"> drog de </w:t>
      </w:r>
      <w:proofErr w:type="spellStart"/>
      <w:r w:rsidRPr="0062385E">
        <w:rPr>
          <w:rFonts w:asciiTheme="minorHAnsi" w:hAnsiTheme="minorHAnsi"/>
          <w:sz w:val="22"/>
          <w:szCs w:val="22"/>
        </w:rPr>
        <w:t>Sydpaa</w:t>
      </w:r>
      <w:proofErr w:type="spellEnd"/>
      <w:r w:rsidRPr="0062385E">
        <w:rPr>
          <w:rFonts w:asciiTheme="minorHAnsi" w:hAnsiTheme="minorHAnsi"/>
          <w:sz w:val="22"/>
          <w:szCs w:val="22"/>
        </w:rPr>
        <w:t xml:space="preserve"> over Themsen til </w:t>
      </w:r>
      <w:proofErr w:type="spellStart"/>
      <w:r w:rsidRPr="0062385E">
        <w:rPr>
          <w:rFonts w:asciiTheme="minorHAnsi" w:hAnsiTheme="minorHAnsi"/>
          <w:sz w:val="22"/>
          <w:szCs w:val="22"/>
        </w:rPr>
        <w:t>Surrey</w:t>
      </w:r>
      <w:proofErr w:type="spellEnd"/>
      <w:r w:rsidRPr="0062385E">
        <w:rPr>
          <w:rFonts w:asciiTheme="minorHAnsi" w:hAnsiTheme="minorHAnsi"/>
          <w:sz w:val="22"/>
          <w:szCs w:val="22"/>
        </w:rPr>
        <w:t xml:space="preserve">. Kong </w:t>
      </w:r>
      <w:proofErr w:type="spellStart"/>
      <w:r w:rsidRPr="0062385E">
        <w:rPr>
          <w:rFonts w:asciiTheme="minorHAnsi" w:hAnsiTheme="minorHAnsi"/>
          <w:sz w:val="22"/>
          <w:szCs w:val="22"/>
        </w:rPr>
        <w:t>Ethellwulf</w:t>
      </w:r>
      <w:proofErr w:type="spellEnd"/>
      <w:r w:rsidRPr="0062385E">
        <w:rPr>
          <w:rFonts w:asciiTheme="minorHAnsi" w:hAnsiTheme="minorHAnsi"/>
          <w:sz w:val="22"/>
          <w:szCs w:val="22"/>
        </w:rPr>
        <w:t xml:space="preserve"> og hans Søn </w:t>
      </w:r>
      <w:proofErr w:type="spellStart"/>
      <w:r w:rsidRPr="0062385E">
        <w:rPr>
          <w:rFonts w:asciiTheme="minorHAnsi" w:hAnsiTheme="minorHAnsi"/>
          <w:sz w:val="22"/>
          <w:szCs w:val="22"/>
        </w:rPr>
        <w:t>Ethelbald</w:t>
      </w:r>
      <w:proofErr w:type="spellEnd"/>
      <w:r w:rsidRPr="0062385E">
        <w:rPr>
          <w:rFonts w:asciiTheme="minorHAnsi" w:hAnsiTheme="minorHAnsi"/>
          <w:sz w:val="22"/>
          <w:szCs w:val="22"/>
        </w:rPr>
        <w:t xml:space="preserve"> i Spidsen for den vestsaksiske Hær kæmpede med dem ved </w:t>
      </w:r>
      <w:proofErr w:type="spellStart"/>
      <w:r w:rsidRPr="0062385E">
        <w:rPr>
          <w:rFonts w:asciiTheme="minorHAnsi" w:hAnsiTheme="minorHAnsi"/>
          <w:sz w:val="22"/>
          <w:szCs w:val="22"/>
        </w:rPr>
        <w:t>Ockley</w:t>
      </w:r>
      <w:proofErr w:type="spellEnd"/>
      <w:r w:rsidRPr="0062385E">
        <w:rPr>
          <w:rFonts w:asciiTheme="minorHAnsi" w:hAnsiTheme="minorHAnsi"/>
          <w:sz w:val="22"/>
          <w:szCs w:val="22"/>
        </w:rPr>
        <w:t xml:space="preserve">, og anrettede der det største Blodbad </w:t>
      </w:r>
      <w:proofErr w:type="spellStart"/>
      <w:r w:rsidRPr="0062385E">
        <w:rPr>
          <w:rFonts w:asciiTheme="minorHAnsi" w:hAnsiTheme="minorHAnsi"/>
          <w:sz w:val="22"/>
          <w:szCs w:val="22"/>
        </w:rPr>
        <w:t>paa</w:t>
      </w:r>
      <w:proofErr w:type="spellEnd"/>
      <w:r w:rsidRPr="0062385E">
        <w:rPr>
          <w:rFonts w:asciiTheme="minorHAnsi" w:hAnsiTheme="minorHAnsi"/>
          <w:sz w:val="22"/>
          <w:szCs w:val="22"/>
        </w:rPr>
        <w:t xml:space="preserve"> en hedensk Hær, som vi nogensinde har hørt tale om; Sejren blev deres. Og i det samme </w:t>
      </w:r>
      <w:proofErr w:type="spellStart"/>
      <w:r w:rsidRPr="0062385E">
        <w:rPr>
          <w:rFonts w:asciiTheme="minorHAnsi" w:hAnsiTheme="minorHAnsi"/>
          <w:sz w:val="22"/>
          <w:szCs w:val="22"/>
        </w:rPr>
        <w:t>Aar</w:t>
      </w:r>
      <w:proofErr w:type="spellEnd"/>
      <w:r w:rsidRPr="0062385E">
        <w:rPr>
          <w:rFonts w:asciiTheme="minorHAnsi" w:hAnsiTheme="minorHAnsi"/>
          <w:sz w:val="22"/>
          <w:szCs w:val="22"/>
        </w:rPr>
        <w:t xml:space="preserve"> kæmpede Kong </w:t>
      </w:r>
      <w:proofErr w:type="spellStart"/>
      <w:r w:rsidRPr="0062385E">
        <w:rPr>
          <w:rFonts w:asciiTheme="minorHAnsi" w:hAnsiTheme="minorHAnsi"/>
          <w:sz w:val="22"/>
          <w:szCs w:val="22"/>
        </w:rPr>
        <w:t>Ethelstan</w:t>
      </w:r>
      <w:proofErr w:type="spellEnd"/>
      <w:r w:rsidRPr="0062385E">
        <w:rPr>
          <w:rFonts w:asciiTheme="minorHAnsi" w:hAnsiTheme="minorHAnsi"/>
          <w:sz w:val="22"/>
          <w:szCs w:val="22"/>
        </w:rPr>
        <w:t xml:space="preserve"> og </w:t>
      </w:r>
      <w:proofErr w:type="spellStart"/>
      <w:r w:rsidRPr="0062385E">
        <w:rPr>
          <w:rFonts w:asciiTheme="minorHAnsi" w:hAnsiTheme="minorHAnsi"/>
          <w:sz w:val="22"/>
          <w:szCs w:val="22"/>
        </w:rPr>
        <w:t>ealdorman</w:t>
      </w:r>
      <w:proofErr w:type="spellEnd"/>
      <w:r w:rsidRPr="0062385E">
        <w:rPr>
          <w:rFonts w:asciiTheme="minorHAnsi" w:hAnsiTheme="minorHAnsi"/>
          <w:sz w:val="22"/>
          <w:szCs w:val="22"/>
        </w:rPr>
        <w:t xml:space="preserve"> </w:t>
      </w:r>
      <w:proofErr w:type="spellStart"/>
      <w:r w:rsidRPr="0062385E">
        <w:rPr>
          <w:rFonts w:asciiTheme="minorHAnsi" w:hAnsiTheme="minorHAnsi"/>
          <w:sz w:val="22"/>
          <w:szCs w:val="22"/>
        </w:rPr>
        <w:t>Ealthere</w:t>
      </w:r>
      <w:proofErr w:type="spellEnd"/>
      <w:r w:rsidRPr="0062385E">
        <w:rPr>
          <w:rFonts w:asciiTheme="minorHAnsi" w:hAnsiTheme="minorHAnsi"/>
          <w:sz w:val="22"/>
          <w:szCs w:val="22"/>
        </w:rPr>
        <w:t xml:space="preserve"> til Søs og slog en stor </w:t>
      </w:r>
      <w:proofErr w:type="spellStart"/>
      <w:r w:rsidRPr="0062385E">
        <w:rPr>
          <w:rFonts w:asciiTheme="minorHAnsi" w:hAnsiTheme="minorHAnsi"/>
          <w:sz w:val="22"/>
          <w:szCs w:val="22"/>
        </w:rPr>
        <w:t>Flaade</w:t>
      </w:r>
      <w:proofErr w:type="spellEnd"/>
      <w:r w:rsidRPr="0062385E">
        <w:rPr>
          <w:rFonts w:asciiTheme="minorHAnsi" w:hAnsiTheme="minorHAnsi"/>
          <w:sz w:val="22"/>
          <w:szCs w:val="22"/>
        </w:rPr>
        <w:t xml:space="preserve"> ved Sandwich; de tog 9 Skibe og drev de andre </w:t>
      </w:r>
      <w:proofErr w:type="spellStart"/>
      <w:r w:rsidRPr="0062385E">
        <w:rPr>
          <w:rFonts w:asciiTheme="minorHAnsi" w:hAnsiTheme="minorHAnsi"/>
          <w:sz w:val="22"/>
          <w:szCs w:val="22"/>
        </w:rPr>
        <w:t>paa</w:t>
      </w:r>
      <w:proofErr w:type="spellEnd"/>
      <w:r w:rsidRPr="0062385E">
        <w:rPr>
          <w:rFonts w:asciiTheme="minorHAnsi" w:hAnsiTheme="minorHAnsi"/>
          <w:sz w:val="22"/>
          <w:szCs w:val="22"/>
        </w:rPr>
        <w:t xml:space="preserve"> Flugt. </w:t>
      </w:r>
    </w:p>
    <w:p w14:paraId="3C036333" w14:textId="77777777" w:rsidR="00B61E50" w:rsidRDefault="003B4624" w:rsidP="00B61E50">
      <w:pPr>
        <w:pStyle w:val="NormalWeb"/>
        <w:spacing w:line="276" w:lineRule="auto"/>
        <w:rPr>
          <w:rFonts w:asciiTheme="minorHAnsi" w:hAnsiTheme="minorHAnsi"/>
          <w:sz w:val="22"/>
          <w:szCs w:val="22"/>
        </w:rPr>
      </w:pPr>
      <w:r w:rsidRPr="0062385E">
        <w:rPr>
          <w:rStyle w:val="Strk"/>
          <w:rFonts w:asciiTheme="minorHAnsi" w:hAnsiTheme="minorHAnsi"/>
          <w:sz w:val="22"/>
          <w:szCs w:val="22"/>
        </w:rPr>
        <w:t>865.</w:t>
      </w:r>
      <w:r w:rsidRPr="0062385E">
        <w:rPr>
          <w:rFonts w:asciiTheme="minorHAnsi" w:hAnsiTheme="minorHAnsi"/>
          <w:sz w:val="22"/>
          <w:szCs w:val="22"/>
        </w:rPr>
        <w:t xml:space="preserve"> Her </w:t>
      </w:r>
      <w:proofErr w:type="spellStart"/>
      <w:r w:rsidRPr="0062385E">
        <w:rPr>
          <w:rFonts w:asciiTheme="minorHAnsi" w:hAnsiTheme="minorHAnsi"/>
          <w:sz w:val="22"/>
          <w:szCs w:val="22"/>
        </w:rPr>
        <w:t>laa</w:t>
      </w:r>
      <w:proofErr w:type="spellEnd"/>
      <w:r w:rsidRPr="0062385E">
        <w:rPr>
          <w:rFonts w:asciiTheme="minorHAnsi" w:hAnsiTheme="minorHAnsi"/>
          <w:sz w:val="22"/>
          <w:szCs w:val="22"/>
        </w:rPr>
        <w:t xml:space="preserve"> den hedenske Hær </w:t>
      </w:r>
      <w:proofErr w:type="spellStart"/>
      <w:r w:rsidRPr="0062385E">
        <w:rPr>
          <w:rFonts w:asciiTheme="minorHAnsi" w:hAnsiTheme="minorHAnsi"/>
          <w:sz w:val="22"/>
          <w:szCs w:val="22"/>
        </w:rPr>
        <w:t>paa</w:t>
      </w:r>
      <w:proofErr w:type="spellEnd"/>
      <w:r w:rsidRPr="0062385E">
        <w:rPr>
          <w:rFonts w:asciiTheme="minorHAnsi" w:hAnsiTheme="minorHAnsi"/>
          <w:sz w:val="22"/>
          <w:szCs w:val="22"/>
        </w:rPr>
        <w:t xml:space="preserve"> </w:t>
      </w:r>
      <w:proofErr w:type="spellStart"/>
      <w:r w:rsidRPr="0062385E">
        <w:rPr>
          <w:rFonts w:asciiTheme="minorHAnsi" w:hAnsiTheme="minorHAnsi"/>
          <w:sz w:val="22"/>
          <w:szCs w:val="22"/>
        </w:rPr>
        <w:t>Thanet</w:t>
      </w:r>
      <w:proofErr w:type="spellEnd"/>
      <w:r w:rsidRPr="0062385E">
        <w:rPr>
          <w:rFonts w:asciiTheme="minorHAnsi" w:hAnsiTheme="minorHAnsi"/>
          <w:sz w:val="22"/>
          <w:szCs w:val="22"/>
        </w:rPr>
        <w:t xml:space="preserve"> og sluttede Fred med Kentboerne, og Kentboerne lovede dem Penge for Freden. Men efter at Løftet om Fred var afgivet, listede Hæren om Natten ind i Landet og hæ</w:t>
      </w:r>
      <w:r w:rsidR="00B61E50">
        <w:rPr>
          <w:rFonts w:asciiTheme="minorHAnsi" w:hAnsiTheme="minorHAnsi"/>
          <w:sz w:val="22"/>
          <w:szCs w:val="22"/>
        </w:rPr>
        <w:t>rgede hele det østlige af Kent.</w:t>
      </w:r>
    </w:p>
    <w:p w14:paraId="690180E7" w14:textId="164DD731" w:rsidR="0060533E" w:rsidRPr="00DC066A" w:rsidRDefault="0060533E" w:rsidP="00B61E50">
      <w:pPr>
        <w:pStyle w:val="NormalWeb"/>
        <w:numPr>
          <w:ilvl w:val="0"/>
          <w:numId w:val="1"/>
        </w:numPr>
        <w:spacing w:line="276" w:lineRule="auto"/>
        <w:rPr>
          <w:rFonts w:asciiTheme="minorHAnsi" w:hAnsiTheme="minorHAnsi"/>
          <w:sz w:val="22"/>
          <w:szCs w:val="22"/>
        </w:rPr>
      </w:pPr>
      <w:r w:rsidRPr="00DC066A">
        <w:rPr>
          <w:rFonts w:asciiTheme="minorHAnsi" w:hAnsiTheme="minorHAnsi"/>
          <w:sz w:val="22"/>
          <w:szCs w:val="22"/>
        </w:rPr>
        <w:t xml:space="preserve">Hvordan </w:t>
      </w:r>
      <w:r w:rsidR="003B4624" w:rsidRPr="00DC066A">
        <w:rPr>
          <w:rFonts w:asciiTheme="minorHAnsi" w:hAnsiTheme="minorHAnsi"/>
          <w:sz w:val="22"/>
          <w:szCs w:val="22"/>
        </w:rPr>
        <w:t>bliver vikingerne beskrevet i de to kilder? H</w:t>
      </w:r>
      <w:r w:rsidRPr="00DC066A">
        <w:rPr>
          <w:rFonts w:asciiTheme="minorHAnsi" w:hAnsiTheme="minorHAnsi"/>
          <w:sz w:val="22"/>
          <w:szCs w:val="22"/>
        </w:rPr>
        <w:t>vad lægge</w:t>
      </w:r>
      <w:r w:rsidR="003B4624" w:rsidRPr="00DC066A">
        <w:rPr>
          <w:rFonts w:asciiTheme="minorHAnsi" w:hAnsiTheme="minorHAnsi"/>
          <w:sz w:val="22"/>
          <w:szCs w:val="22"/>
        </w:rPr>
        <w:t xml:space="preserve">s der </w:t>
      </w:r>
      <w:r w:rsidRPr="00DC066A">
        <w:rPr>
          <w:rFonts w:asciiTheme="minorHAnsi" w:hAnsiTheme="minorHAnsi"/>
          <w:sz w:val="22"/>
          <w:szCs w:val="22"/>
        </w:rPr>
        <w:t>vægt på i beskrivelsen?</w:t>
      </w:r>
      <w:r w:rsidR="0062385E" w:rsidRPr="00DC066A">
        <w:rPr>
          <w:rFonts w:asciiTheme="minorHAnsi" w:hAnsiTheme="minorHAnsi"/>
          <w:sz w:val="22"/>
          <w:szCs w:val="22"/>
        </w:rPr>
        <w:t xml:space="preserve"> Giv eksempler</w:t>
      </w:r>
      <w:r w:rsidR="0087352F">
        <w:rPr>
          <w:rFonts w:asciiTheme="minorHAnsi" w:hAnsiTheme="minorHAnsi"/>
          <w:sz w:val="22"/>
          <w:szCs w:val="22"/>
        </w:rPr>
        <w:t xml:space="preserve"> (find centrale citater)</w:t>
      </w:r>
      <w:r w:rsidR="0062385E" w:rsidRPr="00DC066A">
        <w:rPr>
          <w:rFonts w:asciiTheme="minorHAnsi" w:hAnsiTheme="minorHAnsi"/>
          <w:sz w:val="22"/>
          <w:szCs w:val="22"/>
        </w:rPr>
        <w:t>.</w:t>
      </w:r>
    </w:p>
    <w:p w14:paraId="79BB14E7" w14:textId="6C627560" w:rsidR="0060533E" w:rsidRDefault="009E6B5F" w:rsidP="0060533E">
      <w:pPr>
        <w:pStyle w:val="Listeafsnit"/>
        <w:numPr>
          <w:ilvl w:val="0"/>
          <w:numId w:val="1"/>
        </w:numPr>
      </w:pPr>
      <w:r w:rsidRPr="00DC066A">
        <w:t>Hvad er i</w:t>
      </w:r>
      <w:r w:rsidR="003B4624" w:rsidRPr="00DC066A">
        <w:t>følge de to kilder vikingernes formål med at rejse ud?</w:t>
      </w:r>
    </w:p>
    <w:p w14:paraId="183DE56E" w14:textId="3BF1414D" w:rsidR="00664152" w:rsidRPr="00DC066A" w:rsidRDefault="00664152" w:rsidP="0060533E">
      <w:pPr>
        <w:pStyle w:val="Listeafsnit"/>
        <w:numPr>
          <w:ilvl w:val="0"/>
          <w:numId w:val="1"/>
        </w:numPr>
      </w:pPr>
      <w:r>
        <w:t>Hvilke forklaringer kan der være på, at de skildrer vikingernes formål med togterne så forskelligt?</w:t>
      </w:r>
    </w:p>
    <w:p w14:paraId="191DCCD8" w14:textId="04C3E837" w:rsidR="004C22C6" w:rsidRPr="00DC066A" w:rsidRDefault="00C80351" w:rsidP="004C22C6">
      <w:pPr>
        <w:pStyle w:val="Listeafsnit"/>
        <w:numPr>
          <w:ilvl w:val="0"/>
          <w:numId w:val="1"/>
        </w:numPr>
      </w:pPr>
      <w:r w:rsidRPr="00DC066A">
        <w:t>Hvem er afsenderne af de to kilder?</w:t>
      </w:r>
      <w:r w:rsidR="00664152">
        <w:t xml:space="preserve"> Hvilken af kilderne opfatter I som mest troværdig?</w:t>
      </w:r>
      <w:r w:rsidR="00110122">
        <w:t xml:space="preserve"> Og hvorfor?</w:t>
      </w:r>
    </w:p>
    <w:sectPr w:rsidR="004C22C6" w:rsidRPr="00DC066A" w:rsidSect="00AA2A4E">
      <w:type w:val="continuous"/>
      <w:pgSz w:w="11906" w:h="16838"/>
      <w:pgMar w:top="1843" w:right="1134" w:bottom="709"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55E7" w14:textId="77777777" w:rsidR="00AA2A4E" w:rsidRDefault="00AA2A4E" w:rsidP="00F75D7B">
      <w:pPr>
        <w:spacing w:after="0" w:line="240" w:lineRule="auto"/>
      </w:pPr>
      <w:r>
        <w:separator/>
      </w:r>
    </w:p>
  </w:endnote>
  <w:endnote w:type="continuationSeparator" w:id="0">
    <w:p w14:paraId="6326E8C5" w14:textId="77777777" w:rsidR="00AA2A4E" w:rsidRDefault="00AA2A4E" w:rsidP="00F75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3E15A" w14:textId="77777777" w:rsidR="00AA2A4E" w:rsidRDefault="00AA2A4E" w:rsidP="00F75D7B">
      <w:pPr>
        <w:spacing w:after="0" w:line="240" w:lineRule="auto"/>
      </w:pPr>
      <w:r>
        <w:separator/>
      </w:r>
    </w:p>
  </w:footnote>
  <w:footnote w:type="continuationSeparator" w:id="0">
    <w:p w14:paraId="7CBE9EB3" w14:textId="77777777" w:rsidR="00AA2A4E" w:rsidRDefault="00AA2A4E" w:rsidP="00F75D7B">
      <w:pPr>
        <w:spacing w:after="0" w:line="240" w:lineRule="auto"/>
      </w:pPr>
      <w:r>
        <w:continuationSeparator/>
      </w:r>
    </w:p>
  </w:footnote>
  <w:footnote w:id="1">
    <w:p w14:paraId="1DBA5653" w14:textId="77777777" w:rsidR="005A540C" w:rsidRDefault="005A540C">
      <w:pPr>
        <w:pStyle w:val="Fodnotetekst"/>
      </w:pPr>
      <w:r>
        <w:rPr>
          <w:rStyle w:val="Fodnotehenvisning"/>
        </w:rPr>
        <w:footnoteRef/>
      </w:r>
      <w:r>
        <w:t xml:space="preserve"> skidne = snavsede, beskidte</w:t>
      </w:r>
    </w:p>
  </w:footnote>
  <w:footnote w:id="2">
    <w:p w14:paraId="108E7D81" w14:textId="77777777" w:rsidR="00F75D7B" w:rsidRDefault="00F75D7B">
      <w:pPr>
        <w:pStyle w:val="Fodnotetekst"/>
      </w:pPr>
      <w:r>
        <w:rPr>
          <w:rStyle w:val="Fodnotehenvisning"/>
        </w:rPr>
        <w:footnoteRef/>
      </w:r>
      <w:r>
        <w:t xml:space="preserve"> Trælkvinder</w:t>
      </w:r>
    </w:p>
  </w:footnote>
  <w:footnote w:id="3">
    <w:p w14:paraId="45717F0D" w14:textId="77777777" w:rsidR="00D14F1F" w:rsidRDefault="00D14F1F">
      <w:pPr>
        <w:pStyle w:val="Fodnotetekst"/>
      </w:pPr>
      <w:r>
        <w:rPr>
          <w:rStyle w:val="Fodnotehenvisning"/>
        </w:rPr>
        <w:footnoteRef/>
      </w:r>
      <w:r>
        <w:t xml:space="preserve"> at have omgang med = at have sex med</w:t>
      </w:r>
    </w:p>
  </w:footnote>
  <w:footnote w:id="4">
    <w:p w14:paraId="2E23F09D" w14:textId="77777777" w:rsidR="00F75D7B" w:rsidRDefault="00F75D7B">
      <w:pPr>
        <w:pStyle w:val="Fodnotetekst"/>
      </w:pPr>
      <w:r>
        <w:rPr>
          <w:rStyle w:val="Fodnotehenvisning"/>
        </w:rPr>
        <w:footnoteRef/>
      </w:r>
      <w:r>
        <w:t xml:space="preserve"> </w:t>
      </w:r>
      <w:proofErr w:type="spellStart"/>
      <w:r>
        <w:t>Nabid</w:t>
      </w:r>
      <w:proofErr w:type="spellEnd"/>
      <w:r>
        <w:t>: arabisk rusdrik, her hentydes måske til øl/mjød</w:t>
      </w:r>
    </w:p>
  </w:footnote>
  <w:footnote w:id="5">
    <w:p w14:paraId="302837FA" w14:textId="199EAD08" w:rsidR="00EA54B0" w:rsidRDefault="00EA54B0">
      <w:pPr>
        <w:pStyle w:val="Fodnotetekst"/>
      </w:pPr>
      <w:r>
        <w:rPr>
          <w:rStyle w:val="Fodnotehenvisning"/>
        </w:rPr>
        <w:footnoteRef/>
      </w:r>
      <w:r>
        <w:t xml:space="preserve"> Tallene referer til det år, afsnittet omhandler.</w:t>
      </w:r>
    </w:p>
  </w:footnote>
  <w:footnote w:id="6">
    <w:p w14:paraId="33D2772D" w14:textId="77777777" w:rsidR="00B61E50" w:rsidRPr="002E6D3C" w:rsidRDefault="00B61E50">
      <w:pPr>
        <w:pStyle w:val="Fodnotetekst"/>
        <w:rPr>
          <w:rFonts w:cstheme="minorHAnsi"/>
        </w:rPr>
      </w:pPr>
      <w:r>
        <w:rPr>
          <w:rStyle w:val="Fodnotehenvisning"/>
        </w:rPr>
        <w:footnoteRef/>
      </w:r>
      <w:r>
        <w:t xml:space="preserve"> </w:t>
      </w:r>
      <w:r w:rsidRPr="002E6D3C">
        <w:rPr>
          <w:rFonts w:cstheme="minorHAnsi"/>
        </w:rPr>
        <w:t xml:space="preserve">Jærtegn = </w:t>
      </w:r>
      <w:r w:rsidRPr="002E6D3C">
        <w:rPr>
          <w:rStyle w:val="definition"/>
          <w:rFonts w:cstheme="minorHAnsi"/>
        </w:rPr>
        <w:t>overnaturlig eller usædvanlig hændelse opfattet som et tegn på at noget vil ske</w:t>
      </w:r>
    </w:p>
  </w:footnote>
  <w:footnote w:id="7">
    <w:p w14:paraId="2C32BF68" w14:textId="77777777" w:rsidR="002E6D3C" w:rsidRDefault="002E6D3C">
      <w:pPr>
        <w:pStyle w:val="Fodnotetekst"/>
      </w:pPr>
      <w:r w:rsidRPr="002E6D3C">
        <w:rPr>
          <w:rStyle w:val="Fodnotehenvisning"/>
          <w:rFonts w:cstheme="minorHAnsi"/>
        </w:rPr>
        <w:footnoteRef/>
      </w:r>
      <w:r w:rsidRPr="002E6D3C">
        <w:rPr>
          <w:rFonts w:cstheme="minorHAnsi"/>
        </w:rPr>
        <w:t xml:space="preserve"> </w:t>
      </w:r>
      <w:proofErr w:type="spellStart"/>
      <w:r w:rsidRPr="002E6D3C">
        <w:rPr>
          <w:rFonts w:cstheme="minorHAnsi"/>
        </w:rPr>
        <w:t>ealdorman</w:t>
      </w:r>
      <w:proofErr w:type="spellEnd"/>
      <w:r w:rsidRPr="002E6D3C">
        <w:rPr>
          <w:rFonts w:cstheme="minorHAnsi"/>
        </w:rPr>
        <w:t xml:space="preserve"> = </w:t>
      </w:r>
      <w:r w:rsidRPr="002E6D3C">
        <w:rPr>
          <w:rFonts w:cstheme="minorHAnsi"/>
          <w:color w:val="222222"/>
        </w:rPr>
        <w:t xml:space="preserve">en politisk titel, der blev brugt om den øverste leder og kongens repræsentant for et syssel (angelsaksisk </w:t>
      </w:r>
      <w:proofErr w:type="spellStart"/>
      <w:r w:rsidRPr="002E6D3C">
        <w:rPr>
          <w:rFonts w:cstheme="minorHAnsi"/>
          <w:color w:val="222222"/>
        </w:rPr>
        <w:t>shire</w:t>
      </w:r>
      <w:proofErr w:type="spellEnd"/>
      <w:r w:rsidRPr="002E6D3C">
        <w:rPr>
          <w:rFonts w:cstheme="minorHAnsi"/>
          <w:color w:val="222222"/>
        </w:rPr>
        <w:t>) i England i den tidlige middelalder.</w:t>
      </w:r>
    </w:p>
  </w:footnote>
  <w:footnote w:id="8">
    <w:p w14:paraId="31E5CC41" w14:textId="77777777" w:rsidR="006212EF" w:rsidRDefault="006212EF">
      <w:pPr>
        <w:pStyle w:val="Fodnotetekst"/>
      </w:pPr>
      <w:r>
        <w:rPr>
          <w:rStyle w:val="Fodnotehenvisning"/>
        </w:rPr>
        <w:footnoteRef/>
      </w:r>
      <w:r>
        <w:t xml:space="preserve"> </w:t>
      </w:r>
      <w:proofErr w:type="spellStart"/>
      <w:r>
        <w:t>Thanet</w:t>
      </w:r>
      <w:proofErr w:type="spellEnd"/>
      <w:r>
        <w:t xml:space="preserve"> = et landområde sydøst for London</w:t>
      </w:r>
    </w:p>
  </w:footnote>
  <w:footnote w:id="9">
    <w:p w14:paraId="30E5AEA6" w14:textId="580FF154" w:rsidR="00122C9E" w:rsidRDefault="00122C9E">
      <w:pPr>
        <w:pStyle w:val="Fodnotetekst"/>
      </w:pPr>
      <w:r>
        <w:rPr>
          <w:rStyle w:val="Fodnotehenvisning"/>
        </w:rPr>
        <w:footnoteRef/>
      </w:r>
      <w:r>
        <w:t xml:space="preserve"> Themsen = den flod, der løber gennem London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7545" w14:textId="1FD4E99C" w:rsidR="008660B2" w:rsidRPr="008660B2" w:rsidRDefault="0006588A">
    <w:pPr>
      <w:pStyle w:val="Sidehoved"/>
    </w:pPr>
    <w:r>
      <w:t>23c</w:t>
    </w:r>
    <w:r w:rsidR="00116630">
      <w:t xml:space="preserve"> HI</w:t>
    </w:r>
    <w:r w:rsidR="00F75D7B">
      <w:ptab w:relativeTo="margin" w:alignment="center" w:leader="none"/>
    </w:r>
    <w:r w:rsidR="00116630">
      <w:t>Vikingetiden</w:t>
    </w:r>
    <w:r w:rsidR="00F75D7B">
      <w:ptab w:relativeTo="margin" w:alignment="right" w:leader="none"/>
    </w:r>
    <w:r>
      <w:t>29. januar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D3348"/>
    <w:multiLevelType w:val="hybridMultilevel"/>
    <w:tmpl w:val="42C4B4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5032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7B"/>
    <w:rsid w:val="00062312"/>
    <w:rsid w:val="0006588A"/>
    <w:rsid w:val="000C3264"/>
    <w:rsid w:val="00110122"/>
    <w:rsid w:val="00116630"/>
    <w:rsid w:val="00122C9E"/>
    <w:rsid w:val="00152181"/>
    <w:rsid w:val="00194F54"/>
    <w:rsid w:val="0029073E"/>
    <w:rsid w:val="002A6DD0"/>
    <w:rsid w:val="002E6D3C"/>
    <w:rsid w:val="00315014"/>
    <w:rsid w:val="0032511C"/>
    <w:rsid w:val="003B4624"/>
    <w:rsid w:val="003C7FB7"/>
    <w:rsid w:val="004B1252"/>
    <w:rsid w:val="004C22C6"/>
    <w:rsid w:val="004E5FB6"/>
    <w:rsid w:val="004E7122"/>
    <w:rsid w:val="005A540C"/>
    <w:rsid w:val="0060533E"/>
    <w:rsid w:val="006212EF"/>
    <w:rsid w:val="0062385E"/>
    <w:rsid w:val="00631DC4"/>
    <w:rsid w:val="00644961"/>
    <w:rsid w:val="00664152"/>
    <w:rsid w:val="00677C6C"/>
    <w:rsid w:val="00750FD9"/>
    <w:rsid w:val="00754E7F"/>
    <w:rsid w:val="008660B2"/>
    <w:rsid w:val="0087352F"/>
    <w:rsid w:val="009072FB"/>
    <w:rsid w:val="009E1A14"/>
    <w:rsid w:val="009E6B5F"/>
    <w:rsid w:val="00A25193"/>
    <w:rsid w:val="00A96724"/>
    <w:rsid w:val="00AA2A4E"/>
    <w:rsid w:val="00AD126B"/>
    <w:rsid w:val="00B61E50"/>
    <w:rsid w:val="00B84C95"/>
    <w:rsid w:val="00C05627"/>
    <w:rsid w:val="00C3314B"/>
    <w:rsid w:val="00C80351"/>
    <w:rsid w:val="00D14F1F"/>
    <w:rsid w:val="00D244A1"/>
    <w:rsid w:val="00DB6877"/>
    <w:rsid w:val="00DC066A"/>
    <w:rsid w:val="00E752CE"/>
    <w:rsid w:val="00EA54B0"/>
    <w:rsid w:val="00F16D27"/>
    <w:rsid w:val="00F75D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EF78"/>
  <w15:docId w15:val="{26F6E5A4-7A84-4A2C-882C-19669CAB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75D7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75D7B"/>
  </w:style>
  <w:style w:type="paragraph" w:styleId="Sidefod">
    <w:name w:val="footer"/>
    <w:basedOn w:val="Normal"/>
    <w:link w:val="SidefodTegn"/>
    <w:uiPriority w:val="99"/>
    <w:unhideWhenUsed/>
    <w:rsid w:val="00F75D7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75D7B"/>
  </w:style>
  <w:style w:type="paragraph" w:styleId="Markeringsbobletekst">
    <w:name w:val="Balloon Text"/>
    <w:basedOn w:val="Normal"/>
    <w:link w:val="MarkeringsbobletekstTegn"/>
    <w:uiPriority w:val="99"/>
    <w:semiHidden/>
    <w:unhideWhenUsed/>
    <w:rsid w:val="00F75D7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75D7B"/>
    <w:rPr>
      <w:rFonts w:ascii="Tahoma" w:hAnsi="Tahoma" w:cs="Tahoma"/>
      <w:sz w:val="16"/>
      <w:szCs w:val="16"/>
    </w:rPr>
  </w:style>
  <w:style w:type="character" w:styleId="Hyperlink">
    <w:name w:val="Hyperlink"/>
    <w:basedOn w:val="Standardskrifttypeiafsnit"/>
    <w:uiPriority w:val="99"/>
    <w:unhideWhenUsed/>
    <w:rsid w:val="00F75D7B"/>
    <w:rPr>
      <w:color w:val="0000FF" w:themeColor="hyperlink"/>
      <w:u w:val="single"/>
    </w:rPr>
  </w:style>
  <w:style w:type="paragraph" w:styleId="Fodnotetekst">
    <w:name w:val="footnote text"/>
    <w:basedOn w:val="Normal"/>
    <w:link w:val="FodnotetekstTegn"/>
    <w:uiPriority w:val="99"/>
    <w:semiHidden/>
    <w:unhideWhenUsed/>
    <w:rsid w:val="00F75D7B"/>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F75D7B"/>
    <w:rPr>
      <w:sz w:val="20"/>
      <w:szCs w:val="20"/>
    </w:rPr>
  </w:style>
  <w:style w:type="character" w:styleId="Fodnotehenvisning">
    <w:name w:val="footnote reference"/>
    <w:basedOn w:val="Standardskrifttypeiafsnit"/>
    <w:uiPriority w:val="99"/>
    <w:semiHidden/>
    <w:unhideWhenUsed/>
    <w:rsid w:val="00F75D7B"/>
    <w:rPr>
      <w:vertAlign w:val="superscript"/>
    </w:rPr>
  </w:style>
  <w:style w:type="paragraph" w:styleId="Listeafsnit">
    <w:name w:val="List Paragraph"/>
    <w:basedOn w:val="Normal"/>
    <w:uiPriority w:val="34"/>
    <w:qFormat/>
    <w:rsid w:val="0060533E"/>
    <w:pPr>
      <w:ind w:left="720"/>
      <w:contextualSpacing/>
    </w:pPr>
  </w:style>
  <w:style w:type="character" w:styleId="Linjenummer">
    <w:name w:val="line number"/>
    <w:basedOn w:val="Standardskrifttypeiafsnit"/>
    <w:uiPriority w:val="99"/>
    <w:semiHidden/>
    <w:unhideWhenUsed/>
    <w:rsid w:val="0060533E"/>
  </w:style>
  <w:style w:type="paragraph" w:styleId="NormalWeb">
    <w:name w:val="Normal (Web)"/>
    <w:basedOn w:val="Normal"/>
    <w:uiPriority w:val="99"/>
    <w:unhideWhenUsed/>
    <w:rsid w:val="003B462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3B4624"/>
    <w:rPr>
      <w:b/>
      <w:bCs/>
    </w:rPr>
  </w:style>
  <w:style w:type="character" w:customStyle="1" w:styleId="definition">
    <w:name w:val="definition"/>
    <w:basedOn w:val="Standardskrifttypeiafsnit"/>
    <w:rsid w:val="00B61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tmus.dk/salg-og-ydelser/undervisning-og-undervisningsmateriale/undervisningsmaterialer/ungdomsuddannelserne/danmarks-oldtid/kilder/ibn-fadl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anmarkshistorien.dk/leksikon-og-kilder/vis/materiale/den-angelsaksiske-kroenike-787-954/"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8561-F75F-4B8B-AA50-88B1AC21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950</Words>
  <Characters>5797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Annegrete Mogensen</dc:creator>
  <cp:lastModifiedBy>Annegrete Mogensen</cp:lastModifiedBy>
  <cp:revision>20</cp:revision>
  <dcterms:created xsi:type="dcterms:W3CDTF">2018-01-17T10:14:00Z</dcterms:created>
  <dcterms:modified xsi:type="dcterms:W3CDTF">2024-01-29T08:51:00Z</dcterms:modified>
</cp:coreProperties>
</file>