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96084" w14:textId="11CB10B3" w:rsidR="00FA7FE4" w:rsidRPr="00FA7FE4" w:rsidRDefault="00034943" w:rsidP="00FA7FE4">
      <w:pPr>
        <w:pStyle w:val="Overskrift1"/>
      </w:pPr>
      <w:r>
        <w:t xml:space="preserve">”Riget af tusind </w:t>
      </w:r>
      <w:proofErr w:type="spellStart"/>
      <w:r>
        <w:t>aar</w:t>
      </w:r>
      <w:proofErr w:type="spellEnd"/>
      <w:r>
        <w:t>”</w:t>
      </w:r>
      <w:r w:rsidR="00AC7508">
        <w:t xml:space="preserve"> og ”Døden” af Morten N</w:t>
      </w:r>
      <w:r w:rsidR="00FA7FE4">
        <w:t>i</w:t>
      </w:r>
      <w:r w:rsidR="00AC7508">
        <w:t>elsen</w:t>
      </w:r>
      <w:r>
        <w:t>:</w:t>
      </w:r>
    </w:p>
    <w:p w14:paraId="58F48ACE" w14:textId="0A1B3CD5" w:rsidR="00034943" w:rsidRPr="0091599A" w:rsidRDefault="00034943" w:rsidP="00034943">
      <w:pPr>
        <w:pStyle w:val="Listeafsnit"/>
        <w:numPr>
          <w:ilvl w:val="0"/>
          <w:numId w:val="1"/>
        </w:numPr>
        <w:rPr>
          <w:b/>
          <w:bCs/>
        </w:rPr>
      </w:pPr>
      <w:r w:rsidRPr="0091599A">
        <w:rPr>
          <w:b/>
          <w:bCs/>
        </w:rPr>
        <w:t>Hvilken slags digt har vi med at gøre?</w:t>
      </w:r>
    </w:p>
    <w:p w14:paraId="682A3021" w14:textId="235C951A" w:rsidR="0091599A" w:rsidRDefault="0091599A" w:rsidP="0091599A">
      <w:pPr>
        <w:pStyle w:val="Listeafsnit"/>
        <w:numPr>
          <w:ilvl w:val="0"/>
          <w:numId w:val="4"/>
        </w:numPr>
      </w:pPr>
      <w:r>
        <w:t>Episk digt, der fortæller et livsforløb med et par situationsberetninger om en ung mand, der ender med at bryde ud i et religiøst vanvid og bliver indlagt (den syge, remmene af læder, ståldøren, der smækker osv.).</w:t>
      </w:r>
    </w:p>
    <w:p w14:paraId="11756433" w14:textId="32F33381" w:rsidR="0091599A" w:rsidRDefault="0091599A" w:rsidP="0091599A">
      <w:pPr>
        <w:pStyle w:val="Listeafsnit"/>
        <w:numPr>
          <w:ilvl w:val="0"/>
          <w:numId w:val="4"/>
        </w:numPr>
      </w:pPr>
      <w:r>
        <w:t>Lyrisk digt</w:t>
      </w:r>
      <w:r w:rsidR="00FB687B">
        <w:t>:</w:t>
      </w:r>
      <w:r>
        <w:t xml:space="preserve"> Der er undertoner af de stemninger, </w:t>
      </w:r>
      <w:r w:rsidR="00FB687B">
        <w:t>som</w:t>
      </w:r>
      <w:r>
        <w:t xml:space="preserve"> drengen</w:t>
      </w:r>
      <w:r w:rsidR="00FB687B">
        <w:t xml:space="preserve"> rammes af </w:t>
      </w:r>
      <w:r>
        <w:t xml:space="preserve"> </w:t>
      </w:r>
      <w:r w:rsidR="00FB687B">
        <w:sym w:font="Wingdings" w:char="F0E0"/>
      </w:r>
      <w:r w:rsidR="00FB687B">
        <w:t>S</w:t>
      </w:r>
      <w:r>
        <w:t>indssyge</w:t>
      </w:r>
      <w:r w:rsidR="00FB687B">
        <w:t>n</w:t>
      </w:r>
      <w:r>
        <w:t xml:space="preserve">. </w:t>
      </w:r>
    </w:p>
    <w:p w14:paraId="7995A6C0" w14:textId="538E02B1" w:rsidR="00034943" w:rsidRPr="0091599A" w:rsidRDefault="00034943" w:rsidP="00034943">
      <w:pPr>
        <w:pStyle w:val="Listeafsnit"/>
        <w:numPr>
          <w:ilvl w:val="0"/>
          <w:numId w:val="1"/>
        </w:numPr>
        <w:rPr>
          <w:b/>
          <w:bCs/>
        </w:rPr>
      </w:pPr>
      <w:r w:rsidRPr="0091599A">
        <w:rPr>
          <w:b/>
          <w:bCs/>
        </w:rPr>
        <w:t>Tekstens ydre komposition?</w:t>
      </w:r>
    </w:p>
    <w:p w14:paraId="484DCFD1" w14:textId="483FEFD0" w:rsidR="0091599A" w:rsidRDefault="0091599A" w:rsidP="0091599A">
      <w:pPr>
        <w:pStyle w:val="Listeafsnit"/>
        <w:numPr>
          <w:ilvl w:val="0"/>
          <w:numId w:val="4"/>
        </w:numPr>
      </w:pPr>
      <w:r>
        <w:t xml:space="preserve">17 strofer med 4 verslinjer i hver strofe. </w:t>
      </w:r>
      <w:r>
        <w:sym w:font="Wingdings" w:char="F0E0"/>
      </w:r>
      <w:r>
        <w:t xml:space="preserve"> Den bundne form.</w:t>
      </w:r>
    </w:p>
    <w:p w14:paraId="41AABC77" w14:textId="3586CAE4" w:rsidR="00034943" w:rsidRPr="0091599A" w:rsidRDefault="00034943" w:rsidP="00034943">
      <w:pPr>
        <w:pStyle w:val="Listeafsnit"/>
        <w:numPr>
          <w:ilvl w:val="0"/>
          <w:numId w:val="1"/>
        </w:numPr>
        <w:rPr>
          <w:b/>
          <w:bCs/>
        </w:rPr>
      </w:pPr>
      <w:r w:rsidRPr="0091599A">
        <w:rPr>
          <w:b/>
          <w:bCs/>
        </w:rPr>
        <w:t>Inddel tekstens indre komposition – indholdsmæssigt.</w:t>
      </w:r>
    </w:p>
    <w:p w14:paraId="7463A63C" w14:textId="66FC679A" w:rsidR="0091599A" w:rsidRDefault="0091599A" w:rsidP="0091599A">
      <w:pPr>
        <w:pStyle w:val="Listeafsnit"/>
        <w:numPr>
          <w:ilvl w:val="0"/>
          <w:numId w:val="4"/>
        </w:numPr>
      </w:pPr>
      <w:r>
        <w:t xml:space="preserve">Del 1: str. 1-3, hvor læseren præsenteres for skjult ondskab, en dreng og digtets lyriske jeg. </w:t>
      </w:r>
    </w:p>
    <w:p w14:paraId="59E2E596" w14:textId="0D43DD6E" w:rsidR="0091599A" w:rsidRDefault="0091599A" w:rsidP="0091599A">
      <w:pPr>
        <w:pStyle w:val="Listeafsnit"/>
        <w:numPr>
          <w:ilvl w:val="0"/>
          <w:numId w:val="4"/>
        </w:numPr>
      </w:pPr>
      <w:r>
        <w:t xml:space="preserve">Del 2: str. 4-7, hvor drengen begynder at miste forstanden </w:t>
      </w:r>
      <w:r w:rsidR="00FB687B">
        <w:t>+</w:t>
      </w:r>
      <w:r>
        <w:t xml:space="preserve"> </w:t>
      </w:r>
      <w:r w:rsidR="00FB687B">
        <w:t>N</w:t>
      </w:r>
      <w:r>
        <w:t>azistern</w:t>
      </w:r>
      <w:r w:rsidR="00FB687B">
        <w:t>e</w:t>
      </w:r>
      <w:r>
        <w:t xml:space="preserve"> besætter Danmark (str. 6).</w:t>
      </w:r>
    </w:p>
    <w:p w14:paraId="07E93DA6" w14:textId="0B980667" w:rsidR="0091599A" w:rsidRDefault="0091599A" w:rsidP="0091599A">
      <w:pPr>
        <w:pStyle w:val="Listeafsnit"/>
        <w:numPr>
          <w:ilvl w:val="0"/>
          <w:numId w:val="4"/>
        </w:numPr>
      </w:pPr>
      <w:r>
        <w:t>Del 3: str. 8-11, hvor drengen mister for alvor forstanden. Det signalerer pausestregerne ”---”, hvor der sker et skift</w:t>
      </w:r>
      <w:r w:rsidR="00681FB2">
        <w:t>.</w:t>
      </w:r>
    </w:p>
    <w:p w14:paraId="71721C0B" w14:textId="7C9B68AF" w:rsidR="00681FB2" w:rsidRDefault="00681FB2" w:rsidP="0091599A">
      <w:pPr>
        <w:pStyle w:val="Listeafsnit"/>
        <w:numPr>
          <w:ilvl w:val="0"/>
          <w:numId w:val="4"/>
        </w:numPr>
      </w:pPr>
      <w:r>
        <w:t xml:space="preserve">Del 4: str. 12-17, hvor drengen bliver ført bort. </w:t>
      </w:r>
    </w:p>
    <w:p w14:paraId="33179ED5" w14:textId="456BAA87" w:rsidR="00034943" w:rsidRPr="00681FB2" w:rsidRDefault="00034943" w:rsidP="00034943">
      <w:pPr>
        <w:pStyle w:val="Listeafsnit"/>
        <w:numPr>
          <w:ilvl w:val="0"/>
          <w:numId w:val="1"/>
        </w:numPr>
        <w:rPr>
          <w:b/>
          <w:bCs/>
        </w:rPr>
      </w:pPr>
      <w:r w:rsidRPr="00681FB2">
        <w:rPr>
          <w:b/>
          <w:bCs/>
        </w:rPr>
        <w:t>Hvilken historisk reference kunne første strofe have, og hvilken stemning giver denne strofe?</w:t>
      </w:r>
    </w:p>
    <w:p w14:paraId="2B89C570" w14:textId="77777777" w:rsidR="00681FB2" w:rsidRDefault="00681FB2" w:rsidP="00681FB2">
      <w:pPr>
        <w:pStyle w:val="Listeafsnit"/>
        <w:spacing w:after="0" w:line="240" w:lineRule="auto"/>
        <w:ind w:left="3912"/>
      </w:pPr>
      <w:r>
        <w:t xml:space="preserve">Det </w:t>
      </w:r>
      <w:proofErr w:type="spellStart"/>
      <w:r>
        <w:t>Foraar</w:t>
      </w:r>
      <w:proofErr w:type="spellEnd"/>
      <w:r>
        <w:t xml:space="preserve"> var Feber og Kulde.</w:t>
      </w:r>
    </w:p>
    <w:p w14:paraId="5F681D32" w14:textId="77777777" w:rsidR="00681FB2" w:rsidRDefault="00681FB2" w:rsidP="00681FB2">
      <w:pPr>
        <w:pStyle w:val="Listeafsnit"/>
        <w:spacing w:after="0" w:line="240" w:lineRule="auto"/>
        <w:ind w:left="3912"/>
      </w:pPr>
      <w:r>
        <w:t xml:space="preserve">Skovens </w:t>
      </w:r>
      <w:proofErr w:type="spellStart"/>
      <w:r>
        <w:t>Taagebræm</w:t>
      </w:r>
      <w:proofErr w:type="spellEnd"/>
    </w:p>
    <w:p w14:paraId="3834FA41" w14:textId="77777777" w:rsidR="00681FB2" w:rsidRDefault="00681FB2" w:rsidP="00681FB2">
      <w:pPr>
        <w:pStyle w:val="Listeafsnit"/>
        <w:spacing w:after="0" w:line="240" w:lineRule="auto"/>
        <w:ind w:left="3912"/>
      </w:pPr>
      <w:r>
        <w:t>skjulte en Ondskab som luende</w:t>
      </w:r>
    </w:p>
    <w:p w14:paraId="3DDCEA3D" w14:textId="253E9E0E" w:rsidR="00681FB2" w:rsidRDefault="00681FB2" w:rsidP="00681FB2">
      <w:pPr>
        <w:pStyle w:val="Listeafsnit"/>
        <w:spacing w:after="0" w:line="240" w:lineRule="auto"/>
        <w:ind w:left="3912"/>
      </w:pPr>
      <w:r>
        <w:t>skulde sprænge sig frem.</w:t>
      </w:r>
    </w:p>
    <w:p w14:paraId="6C3BFB0A" w14:textId="6F592AA8" w:rsidR="00681FB2" w:rsidRDefault="00681FB2" w:rsidP="00681FB2">
      <w:pPr>
        <w:pStyle w:val="Listeafsnit"/>
        <w:numPr>
          <w:ilvl w:val="0"/>
          <w:numId w:val="4"/>
        </w:numPr>
      </w:pPr>
      <w:r>
        <w:t>”</w:t>
      </w:r>
      <w:r w:rsidRPr="00681FB2">
        <w:rPr>
          <w:u w:val="single"/>
        </w:rPr>
        <w:t>Det forår</w:t>
      </w:r>
      <w:r>
        <w:t xml:space="preserve"> var Feber og Kulde”. </w:t>
      </w:r>
      <w:r>
        <w:sym w:font="Wingdings" w:char="F0E0"/>
      </w:r>
      <w:r>
        <w:t xml:space="preserve"> Det var foråret 1940, hvor tyskerne besætter DK. </w:t>
      </w:r>
    </w:p>
    <w:p w14:paraId="304B6B82" w14:textId="0F0969EF" w:rsidR="00681FB2" w:rsidRDefault="00681FB2" w:rsidP="00681FB2">
      <w:pPr>
        <w:pStyle w:val="Listeafsnit"/>
        <w:numPr>
          <w:ilvl w:val="0"/>
          <w:numId w:val="4"/>
        </w:numPr>
      </w:pPr>
      <w:r>
        <w:t>Ondskaben ligger på lur. Den skjuler sig, man er ikke klar over, hvilken ubehag den vil komme med.</w:t>
      </w:r>
      <w:r w:rsidR="00FB687B">
        <w:t xml:space="preserve"> </w:t>
      </w:r>
      <w:r w:rsidR="00FB687B">
        <w:sym w:font="Wingdings" w:char="F0E0"/>
      </w:r>
      <w:r w:rsidR="00FB687B">
        <w:t xml:space="preserve"> Nazismen breder sig rundtom i Europa. </w:t>
      </w:r>
      <w:r>
        <w:t xml:space="preserve"> </w:t>
      </w:r>
    </w:p>
    <w:p w14:paraId="75ECA037" w14:textId="7731B669" w:rsidR="00681FB2" w:rsidRDefault="00681FB2" w:rsidP="00681FB2">
      <w:pPr>
        <w:pStyle w:val="Listeafsnit"/>
        <w:numPr>
          <w:ilvl w:val="0"/>
          <w:numId w:val="4"/>
        </w:numPr>
      </w:pPr>
      <w:r>
        <w:t>Foråret er sygt</w:t>
      </w:r>
      <w:r w:rsidR="00FB687B">
        <w:t>,</w:t>
      </w:r>
      <w:r>
        <w:t xml:space="preserve"> og skoven fremstår dæmonisk og truende.  </w:t>
      </w:r>
    </w:p>
    <w:p w14:paraId="30B18ABE" w14:textId="3C46470E" w:rsidR="00034943" w:rsidRPr="0082640E" w:rsidRDefault="00034943" w:rsidP="00034943">
      <w:pPr>
        <w:pStyle w:val="Listeafsnit"/>
        <w:numPr>
          <w:ilvl w:val="0"/>
          <w:numId w:val="1"/>
        </w:numPr>
        <w:rPr>
          <w:b/>
          <w:bCs/>
        </w:rPr>
      </w:pPr>
      <w:r w:rsidRPr="0082640E">
        <w:rPr>
          <w:b/>
          <w:bCs/>
        </w:rPr>
        <w:t>Kom ind på beskrivelse af ”ham” og ”vore” (os):</w:t>
      </w:r>
    </w:p>
    <w:p w14:paraId="5706148D" w14:textId="131D4164" w:rsidR="00034943" w:rsidRDefault="00034943" w:rsidP="00034943">
      <w:pPr>
        <w:pStyle w:val="Listeafsnit"/>
        <w:numPr>
          <w:ilvl w:val="1"/>
          <w:numId w:val="1"/>
        </w:numPr>
      </w:pPr>
      <w:r w:rsidRPr="0010159D">
        <w:rPr>
          <w:b/>
          <w:bCs/>
        </w:rPr>
        <w:t xml:space="preserve">”Krigere uden våben/ og </w:t>
      </w:r>
      <w:proofErr w:type="spellStart"/>
      <w:r w:rsidRPr="0010159D">
        <w:rPr>
          <w:b/>
          <w:bCs/>
        </w:rPr>
        <w:t>saarede</w:t>
      </w:r>
      <w:proofErr w:type="spellEnd"/>
      <w:r w:rsidRPr="0010159D">
        <w:rPr>
          <w:b/>
          <w:bCs/>
        </w:rPr>
        <w:t xml:space="preserve"> uden Saar (</w:t>
      </w:r>
      <w:r w:rsidR="0010159D">
        <w:rPr>
          <w:b/>
          <w:bCs/>
        </w:rPr>
        <w:t xml:space="preserve">str. </w:t>
      </w:r>
      <w:r w:rsidRPr="0010159D">
        <w:rPr>
          <w:b/>
          <w:bCs/>
        </w:rPr>
        <w:t>3).</w:t>
      </w:r>
      <w:r w:rsidR="00681FB2" w:rsidRPr="0010159D">
        <w:rPr>
          <w:b/>
          <w:bCs/>
        </w:rPr>
        <w:t xml:space="preserve"> </w:t>
      </w:r>
      <w:r w:rsidR="00681FB2" w:rsidRPr="0010159D">
        <w:rPr>
          <w:b/>
          <w:bCs/>
        </w:rPr>
        <w:sym w:font="Wingdings" w:char="F0E0"/>
      </w:r>
      <w:r w:rsidR="00681FB2">
        <w:t xml:space="preserve"> Modstandsfolk er såret i sindet, da ungdommen ikke har været i krig endnu, da de blot er 18 år. </w:t>
      </w:r>
      <w:r w:rsidR="0082640E">
        <w:t xml:space="preserve">De er forsvarsløse og sårbare. </w:t>
      </w:r>
    </w:p>
    <w:p w14:paraId="282046A6" w14:textId="757C686D" w:rsidR="00034943" w:rsidRPr="0010159D" w:rsidRDefault="00034943" w:rsidP="00034943">
      <w:pPr>
        <w:pStyle w:val="Listeafsnit"/>
        <w:numPr>
          <w:ilvl w:val="1"/>
          <w:numId w:val="1"/>
        </w:numPr>
        <w:rPr>
          <w:b/>
          <w:bCs/>
        </w:rPr>
      </w:pPr>
      <w:r w:rsidRPr="0010159D">
        <w:rPr>
          <w:b/>
          <w:bCs/>
        </w:rPr>
        <w:t xml:space="preserve">Hvad sker der fra strofe 3-4? </w:t>
      </w:r>
    </w:p>
    <w:p w14:paraId="6616839C" w14:textId="468162DE" w:rsidR="00A30981" w:rsidRDefault="00A30981" w:rsidP="00A30981">
      <w:pPr>
        <w:pStyle w:val="Listeafsnit"/>
        <w:numPr>
          <w:ilvl w:val="2"/>
          <w:numId w:val="1"/>
        </w:numPr>
      </w:pPr>
      <w:r>
        <w:t xml:space="preserve">Drengens sindssyge bliver fremprovokeret af hans syn af modstandsfolket, der på daværende tidspunkt ikke gør modstand, men bliver hadske i sindet. I str. 4 ser man igen, hvordan vejret rører på sig + hvordan </w:t>
      </w:r>
      <w:r w:rsidR="00FB687B">
        <w:t>drengen påvirkes af situationen:</w:t>
      </w:r>
    </w:p>
    <w:p w14:paraId="3B3DFA8F" w14:textId="77777777" w:rsidR="00A30981" w:rsidRDefault="00A30981" w:rsidP="00A30981">
      <w:pPr>
        <w:pStyle w:val="Listeafsnit"/>
        <w:spacing w:after="0" w:line="240" w:lineRule="auto"/>
        <w:ind w:left="2880"/>
      </w:pPr>
      <w:r>
        <w:t>Men hvirvlende Byger af Angstvejr,</w:t>
      </w:r>
    </w:p>
    <w:p w14:paraId="53C21571" w14:textId="77777777" w:rsidR="00A30981" w:rsidRDefault="00A30981" w:rsidP="00A30981">
      <w:pPr>
        <w:pStyle w:val="Listeafsnit"/>
        <w:spacing w:after="0" w:line="240" w:lineRule="auto"/>
        <w:ind w:left="2880"/>
      </w:pPr>
      <w:proofErr w:type="spellStart"/>
      <w:r>
        <w:t>Haab</w:t>
      </w:r>
      <w:proofErr w:type="spellEnd"/>
      <w:r>
        <w:t>, der forgik, forgik,</w:t>
      </w:r>
    </w:p>
    <w:p w14:paraId="57BD738E" w14:textId="77777777" w:rsidR="00A30981" w:rsidRDefault="00A30981" w:rsidP="00A30981">
      <w:pPr>
        <w:pStyle w:val="Listeafsnit"/>
        <w:spacing w:after="0" w:line="240" w:lineRule="auto"/>
        <w:ind w:left="2880"/>
      </w:pPr>
      <w:r>
        <w:t>sled i hans Hjerte som Hunde,</w:t>
      </w:r>
    </w:p>
    <w:p w14:paraId="28FF921C" w14:textId="77777777" w:rsidR="00A30981" w:rsidRDefault="00A30981" w:rsidP="00A30981">
      <w:pPr>
        <w:pStyle w:val="Listeafsnit"/>
        <w:spacing w:after="0" w:line="240" w:lineRule="auto"/>
        <w:ind w:left="2880"/>
      </w:pPr>
      <w:r>
        <w:t>traf ham som Feberstik. (str. 4)</w:t>
      </w:r>
    </w:p>
    <w:p w14:paraId="3383A8E0" w14:textId="7F4D50B9" w:rsidR="00A30981" w:rsidRDefault="00A30981" w:rsidP="00A30981">
      <w:pPr>
        <w:spacing w:after="0" w:line="240" w:lineRule="auto"/>
      </w:pPr>
      <w:r>
        <w:t xml:space="preserve">                              </w:t>
      </w:r>
    </w:p>
    <w:p w14:paraId="4F4C5310" w14:textId="77777777" w:rsidR="00A30981" w:rsidRDefault="00A30981" w:rsidP="00A30981">
      <w:pPr>
        <w:spacing w:after="0" w:line="240" w:lineRule="auto"/>
      </w:pPr>
    </w:p>
    <w:p w14:paraId="3EFB46C9" w14:textId="77777777" w:rsidR="00A30981" w:rsidRDefault="00A30981" w:rsidP="00A30981">
      <w:pPr>
        <w:spacing w:after="0" w:line="240" w:lineRule="auto"/>
      </w:pPr>
    </w:p>
    <w:p w14:paraId="094A2657" w14:textId="77777777" w:rsidR="00A30981" w:rsidRDefault="00A30981" w:rsidP="00A30981">
      <w:pPr>
        <w:spacing w:after="0" w:line="240" w:lineRule="auto"/>
      </w:pPr>
    </w:p>
    <w:p w14:paraId="2A1666C9" w14:textId="77777777" w:rsidR="00A30981" w:rsidRDefault="00A30981" w:rsidP="00A30981">
      <w:pPr>
        <w:spacing w:after="0" w:line="240" w:lineRule="auto"/>
      </w:pPr>
    </w:p>
    <w:p w14:paraId="0453B316" w14:textId="77777777" w:rsidR="00A30981" w:rsidRDefault="00A30981" w:rsidP="00A30981">
      <w:pPr>
        <w:spacing w:after="0" w:line="240" w:lineRule="auto"/>
      </w:pPr>
    </w:p>
    <w:p w14:paraId="0FF720A1" w14:textId="77777777" w:rsidR="00A30981" w:rsidRDefault="00A30981" w:rsidP="00A30981">
      <w:pPr>
        <w:spacing w:after="0" w:line="240" w:lineRule="auto"/>
      </w:pPr>
    </w:p>
    <w:p w14:paraId="6E0D1AC4" w14:textId="06AF7721" w:rsidR="00A30981" w:rsidRPr="0010159D" w:rsidRDefault="00A30981" w:rsidP="00A30981">
      <w:pPr>
        <w:pStyle w:val="Listeafsnit"/>
        <w:numPr>
          <w:ilvl w:val="1"/>
          <w:numId w:val="1"/>
        </w:numPr>
        <w:spacing w:after="0" w:line="240" w:lineRule="auto"/>
        <w:rPr>
          <w:b/>
          <w:bCs/>
        </w:rPr>
      </w:pPr>
      <w:r w:rsidRPr="0010159D">
        <w:rPr>
          <w:b/>
          <w:bCs/>
        </w:rPr>
        <w:t>Hvilken reaktion rammes drengen af?</w:t>
      </w:r>
    </w:p>
    <w:p w14:paraId="265E27D8" w14:textId="052B6110" w:rsidR="00A30981" w:rsidRDefault="00A30981" w:rsidP="00A30981">
      <w:pPr>
        <w:pStyle w:val="Listeafsnit"/>
        <w:spacing w:after="0" w:line="240" w:lineRule="auto"/>
        <w:ind w:left="1440"/>
      </w:pPr>
    </w:p>
    <w:p w14:paraId="0D6C5C9B" w14:textId="728BA168" w:rsidR="00A30981" w:rsidRDefault="00A30981" w:rsidP="00A30981">
      <w:pPr>
        <w:pStyle w:val="Listeafsnit"/>
        <w:numPr>
          <w:ilvl w:val="0"/>
          <w:numId w:val="2"/>
        </w:numPr>
      </w:pPr>
      <w:r>
        <w:t xml:space="preserve">Han mødte det Dag efter Dag / i Maskinernes jerngrå Lyde / og </w:t>
      </w:r>
      <w:proofErr w:type="gramStart"/>
      <w:r>
        <w:t>vore</w:t>
      </w:r>
      <w:proofErr w:type="gramEnd"/>
      <w:r>
        <w:t xml:space="preserve"> Ansigtsdrag” (</w:t>
      </w:r>
      <w:r w:rsidR="0010159D">
        <w:t xml:space="preserve">str. </w:t>
      </w:r>
      <w:r>
        <w:t>5).</w:t>
      </w:r>
    </w:p>
    <w:p w14:paraId="10C0FCDC" w14:textId="6CBAACCC" w:rsidR="00A30981" w:rsidRDefault="00A30981" w:rsidP="00A30981">
      <w:pPr>
        <w:pStyle w:val="Listeafsnit"/>
        <w:numPr>
          <w:ilvl w:val="1"/>
          <w:numId w:val="2"/>
        </w:numPr>
      </w:pPr>
      <w:r>
        <w:t>Farven grå og dens egenskab er centrale, da det symboliserer det ko</w:t>
      </w:r>
      <w:r w:rsidR="00FB687B">
        <w:t>l</w:t>
      </w:r>
      <w:r>
        <w:t>de og triste i form af metallets jern</w:t>
      </w:r>
      <w:r w:rsidR="0082640E">
        <w:t xml:space="preserve">, der formuleres som koldt og giver en industriel genlyd, ligesom besættelsesmagtens indtog gjorde det i forbindelse med kampvogne. </w:t>
      </w:r>
    </w:p>
    <w:p w14:paraId="78FC15FC" w14:textId="3509C29A" w:rsidR="00A30981" w:rsidRDefault="00A30981" w:rsidP="00A30981">
      <w:pPr>
        <w:pStyle w:val="Listeafsnit"/>
        <w:numPr>
          <w:ilvl w:val="1"/>
          <w:numId w:val="2"/>
        </w:numPr>
      </w:pPr>
      <w:r>
        <w:t xml:space="preserve">Det han møder i ”vore ansigtsdrag” er således den angst, der selv har skyllet ind over ham i str. 4. </w:t>
      </w:r>
    </w:p>
    <w:p w14:paraId="07CE546E" w14:textId="1189A3C8" w:rsidR="00A30981" w:rsidRDefault="00A30981" w:rsidP="00A30981">
      <w:pPr>
        <w:pStyle w:val="Listeafsnit"/>
        <w:spacing w:after="0" w:line="240" w:lineRule="auto"/>
        <w:ind w:left="1440"/>
      </w:pPr>
    </w:p>
    <w:p w14:paraId="4D7FACAA" w14:textId="77777777" w:rsidR="00A30981" w:rsidRDefault="00A30981" w:rsidP="00A30981">
      <w:pPr>
        <w:pStyle w:val="Listeafsnit"/>
        <w:spacing w:after="0" w:line="240" w:lineRule="auto"/>
      </w:pPr>
    </w:p>
    <w:p w14:paraId="36C6C4E5" w14:textId="0C23210D" w:rsidR="00034943" w:rsidRDefault="00A30981" w:rsidP="00A30981">
      <w:pPr>
        <w:pStyle w:val="Listeafsnit"/>
        <w:spacing w:after="0" w:line="240" w:lineRule="auto"/>
      </w:pPr>
      <w:r>
        <w:t xml:space="preserve">                 </w:t>
      </w:r>
      <w:r w:rsidR="00034943">
        <w:t>”</w:t>
      </w:r>
      <w:r>
        <w:t>Hver Dag blev han jaget lidt mere,</w:t>
      </w:r>
    </w:p>
    <w:p w14:paraId="36EA49A3" w14:textId="397BDA06" w:rsidR="00A30981" w:rsidRDefault="00A30981" w:rsidP="00A30981">
      <w:pPr>
        <w:pStyle w:val="Listeafsnit"/>
        <w:ind w:left="1440"/>
      </w:pPr>
      <w:r>
        <w:t xml:space="preserve">   Verden blev mere</w:t>
      </w:r>
      <w:r w:rsidRPr="0082640E">
        <w:rPr>
          <w:b/>
          <w:bCs/>
          <w:u w:val="single"/>
        </w:rPr>
        <w:t xml:space="preserve"> tom</w:t>
      </w:r>
    </w:p>
    <w:p w14:paraId="2FE510B3" w14:textId="588DC5AF" w:rsidR="00A30981" w:rsidRPr="0082640E" w:rsidRDefault="00A30981" w:rsidP="00A30981">
      <w:pPr>
        <w:pStyle w:val="Listeafsnit"/>
        <w:ind w:left="1440"/>
        <w:rPr>
          <w:b/>
          <w:bCs/>
          <w:u w:val="single"/>
        </w:rPr>
      </w:pPr>
      <w:r>
        <w:t xml:space="preserve">   Og </w:t>
      </w:r>
      <w:r w:rsidRPr="0082640E">
        <w:rPr>
          <w:b/>
          <w:bCs/>
          <w:u w:val="single"/>
        </w:rPr>
        <w:t>mere fuld af død</w:t>
      </w:r>
    </w:p>
    <w:p w14:paraId="6BDB0469" w14:textId="78EC26DB" w:rsidR="00A30981" w:rsidRDefault="00A30981" w:rsidP="00A30981">
      <w:pPr>
        <w:pStyle w:val="Listeafsnit"/>
        <w:ind w:left="1440"/>
      </w:pPr>
      <w:r>
        <w:t xml:space="preserve">   Indtil Forløsningen kom” (str. 7</w:t>
      </w:r>
      <w:r w:rsidR="0082640E">
        <w:t>, egen fremhævning</w:t>
      </w:r>
      <w:r>
        <w:t>).</w:t>
      </w:r>
    </w:p>
    <w:p w14:paraId="771E2E62" w14:textId="77777777" w:rsidR="000B17EC" w:rsidRDefault="000B17EC" w:rsidP="00A30981">
      <w:pPr>
        <w:pStyle w:val="Listeafsnit"/>
        <w:ind w:left="1440"/>
      </w:pPr>
    </w:p>
    <w:p w14:paraId="21C486F5" w14:textId="0AB50148" w:rsidR="000B17EC" w:rsidRDefault="000B17EC" w:rsidP="000B17EC">
      <w:pPr>
        <w:pStyle w:val="Listeafsnit"/>
        <w:numPr>
          <w:ilvl w:val="1"/>
          <w:numId w:val="2"/>
        </w:numPr>
      </w:pPr>
      <w:r>
        <w:t>Antitese: ”Hans øjne blev mørke og lyse” (</w:t>
      </w:r>
      <w:r w:rsidR="0010159D">
        <w:t xml:space="preserve">str. </w:t>
      </w:r>
      <w:r>
        <w:t>9)</w:t>
      </w:r>
    </w:p>
    <w:p w14:paraId="71FE2939" w14:textId="77777777" w:rsidR="00FB687B" w:rsidRDefault="000B17EC" w:rsidP="000B17EC">
      <w:pPr>
        <w:pStyle w:val="Listeafsnit"/>
        <w:numPr>
          <w:ilvl w:val="2"/>
          <w:numId w:val="2"/>
        </w:numPr>
      </w:pPr>
      <w:r>
        <w:t>Øjnene bliver ramt af den ondskab, som vi ser i strofe 1, men drengen finder altså et håb i denne ondskab.</w:t>
      </w:r>
    </w:p>
    <w:p w14:paraId="29163AA5" w14:textId="7208FD90" w:rsidR="000B17EC" w:rsidRDefault="000B17EC" w:rsidP="00FB687B">
      <w:pPr>
        <w:pStyle w:val="Listeafsnit"/>
        <w:numPr>
          <w:ilvl w:val="1"/>
          <w:numId w:val="2"/>
        </w:numPr>
      </w:pPr>
      <w:r>
        <w:t>Modsat ser vi senere hen: ”skinnede Øjne blev tomme” (str. 11) + ”hans Øjne var kolde og tomme” (str. 15)</w:t>
      </w:r>
    </w:p>
    <w:p w14:paraId="354A7CAE" w14:textId="77777777" w:rsidR="00A30981" w:rsidRDefault="00A30981" w:rsidP="00A30981"/>
    <w:p w14:paraId="513F9114" w14:textId="5F3AF8DE" w:rsidR="0082640E" w:rsidRPr="0082640E" w:rsidRDefault="00034943" w:rsidP="0082640E">
      <w:pPr>
        <w:pStyle w:val="Listeafsnit"/>
        <w:numPr>
          <w:ilvl w:val="0"/>
          <w:numId w:val="1"/>
        </w:numPr>
        <w:rPr>
          <w:b/>
          <w:bCs/>
        </w:rPr>
      </w:pPr>
      <w:r w:rsidRPr="0082640E">
        <w:rPr>
          <w:b/>
          <w:bCs/>
        </w:rPr>
        <w:t>Hvad sker der i strofe 6? (Læg mærke til vejret).</w:t>
      </w:r>
    </w:p>
    <w:p w14:paraId="2D178449" w14:textId="77777777" w:rsidR="0082640E" w:rsidRDefault="0082640E" w:rsidP="0082640E">
      <w:pPr>
        <w:pStyle w:val="Listeafsnit"/>
      </w:pPr>
    </w:p>
    <w:p w14:paraId="44E48EA9" w14:textId="6834E567" w:rsidR="0082640E" w:rsidRDefault="0082640E" w:rsidP="0082640E">
      <w:pPr>
        <w:pStyle w:val="Listeafsnit"/>
        <w:numPr>
          <w:ilvl w:val="0"/>
          <w:numId w:val="2"/>
        </w:numPr>
      </w:pPr>
      <w:bookmarkStart w:id="0" w:name="_Hlk165208852"/>
      <w:r>
        <w:t xml:space="preserve">Nazisternes indtog kan tydeligere ses i str. 6, hvor ”Det stod som en </w:t>
      </w:r>
      <w:proofErr w:type="spellStart"/>
      <w:r>
        <w:t>Tordnen</w:t>
      </w:r>
      <w:proofErr w:type="spellEnd"/>
      <w:r>
        <w:t xml:space="preserve"> i Luften/ støvlerne lød som regn” (</w:t>
      </w:r>
      <w:r w:rsidR="0010159D">
        <w:t>str.</w:t>
      </w:r>
      <w:r>
        <w:t>6).</w:t>
      </w:r>
    </w:p>
    <w:p w14:paraId="0F41B899" w14:textId="77777777" w:rsidR="0082640E" w:rsidRDefault="0082640E" w:rsidP="0082640E">
      <w:pPr>
        <w:pStyle w:val="Listeafsnit"/>
        <w:numPr>
          <w:ilvl w:val="1"/>
          <w:numId w:val="2"/>
        </w:numPr>
      </w:pPr>
      <w:r>
        <w:t>Torden dækker formentlig over våben, der bliver affyret eller fly i luften.</w:t>
      </w:r>
    </w:p>
    <w:bookmarkEnd w:id="0"/>
    <w:p w14:paraId="3CB3482C" w14:textId="77777777" w:rsidR="0082640E" w:rsidRDefault="0082640E" w:rsidP="0082640E"/>
    <w:p w14:paraId="174FFCDA" w14:textId="29CA1DAF" w:rsidR="00034943" w:rsidRPr="0082640E" w:rsidRDefault="00034943" w:rsidP="00034943">
      <w:pPr>
        <w:pStyle w:val="Listeafsnit"/>
        <w:numPr>
          <w:ilvl w:val="0"/>
          <w:numId w:val="1"/>
        </w:numPr>
        <w:rPr>
          <w:b/>
          <w:bCs/>
        </w:rPr>
      </w:pPr>
      <w:r w:rsidRPr="0082640E">
        <w:rPr>
          <w:b/>
          <w:bCs/>
        </w:rPr>
        <w:t>Hvorfor tænker I, at man har pausestreger ”---” med i digtet. Hvad signalerer det ift. indholdet?</w:t>
      </w:r>
    </w:p>
    <w:p w14:paraId="4F213922" w14:textId="2ACF6032" w:rsidR="0082640E" w:rsidRDefault="0082640E" w:rsidP="0082640E">
      <w:pPr>
        <w:pStyle w:val="Listeafsnit"/>
        <w:numPr>
          <w:ilvl w:val="0"/>
          <w:numId w:val="2"/>
        </w:numPr>
      </w:pPr>
      <w:r>
        <w:t>Pausestregerne: ”---” (</w:t>
      </w:r>
      <w:r w:rsidR="0010159D">
        <w:t xml:space="preserve">str. </w:t>
      </w:r>
      <w:r>
        <w:t xml:space="preserve">7) markerer drengens dybere vej ind i nazismens jerngreb, der resulterer i sindssygen. </w:t>
      </w:r>
      <w:r>
        <w:sym w:font="Wingdings" w:char="F0E0"/>
      </w:r>
      <w:r>
        <w:t xml:space="preserve"> Herefter møder drengen blandt andet Kristus. </w:t>
      </w:r>
    </w:p>
    <w:p w14:paraId="5B3A161C" w14:textId="77777777" w:rsidR="0082640E" w:rsidRDefault="0082640E" w:rsidP="0082640E"/>
    <w:p w14:paraId="61A04516" w14:textId="43EE1CAD" w:rsidR="00034943" w:rsidRPr="0082640E" w:rsidRDefault="00034943" w:rsidP="00034943">
      <w:pPr>
        <w:pStyle w:val="Listeafsnit"/>
        <w:numPr>
          <w:ilvl w:val="0"/>
          <w:numId w:val="1"/>
        </w:numPr>
        <w:rPr>
          <w:b/>
          <w:bCs/>
        </w:rPr>
      </w:pPr>
      <w:r w:rsidRPr="0082640E">
        <w:rPr>
          <w:b/>
          <w:bCs/>
        </w:rPr>
        <w:t>Drengen fortæller, at han har talt med Jesus og beretter, at ”</w:t>
      </w:r>
      <w:proofErr w:type="spellStart"/>
      <w:r w:rsidRPr="0082640E">
        <w:rPr>
          <w:b/>
          <w:bCs/>
        </w:rPr>
        <w:t>Tusindaarsriget</w:t>
      </w:r>
      <w:proofErr w:type="spellEnd"/>
      <w:r w:rsidRPr="0082640E">
        <w:rPr>
          <w:b/>
          <w:bCs/>
        </w:rPr>
        <w:t xml:space="preserve"> skal komme / </w:t>
      </w:r>
      <w:proofErr w:type="spellStart"/>
      <w:r w:rsidRPr="0082640E">
        <w:rPr>
          <w:b/>
          <w:bCs/>
        </w:rPr>
        <w:t>Aaret</w:t>
      </w:r>
      <w:proofErr w:type="spellEnd"/>
      <w:r w:rsidRPr="0082640E">
        <w:rPr>
          <w:b/>
          <w:bCs/>
        </w:rPr>
        <w:t xml:space="preserve"> af Hævn og Rædsel / er endelig omme”. (str. 8)</w:t>
      </w:r>
    </w:p>
    <w:p w14:paraId="6EFB2306" w14:textId="4371E296" w:rsidR="00034943" w:rsidRDefault="00034943" w:rsidP="00034943">
      <w:pPr>
        <w:pStyle w:val="Listeafsnit"/>
        <w:numPr>
          <w:ilvl w:val="1"/>
          <w:numId w:val="1"/>
        </w:numPr>
      </w:pPr>
      <w:r>
        <w:t>Hvad er ”</w:t>
      </w:r>
      <w:r w:rsidR="0091599A">
        <w:t>Tusindårsriget</w:t>
      </w:r>
      <w:r>
        <w:t>”? (</w:t>
      </w:r>
      <w:hyperlink r:id="rId5" w:history="1">
        <w:r>
          <w:rPr>
            <w:rStyle w:val="Hyperlink"/>
          </w:rPr>
          <w:t>tusindårsriget | lex.dk – Den Store Danske</w:t>
        </w:r>
      </w:hyperlink>
      <w:r>
        <w:t>).</w:t>
      </w:r>
    </w:p>
    <w:p w14:paraId="1C5BF71A" w14:textId="77777777" w:rsidR="0082640E" w:rsidRDefault="0082640E" w:rsidP="0082640E">
      <w:pPr>
        <w:pStyle w:val="Listeafsnit"/>
        <w:numPr>
          <w:ilvl w:val="2"/>
          <w:numId w:val="1"/>
        </w:numPr>
      </w:pPr>
      <w:r>
        <w:t>Tusindårsriget er en profeti fra Johannes Åbenbaring, hvor det siges, at der vil komme tusind års lykke, hvor verden regeres af de troende og frelste før dommedag.</w:t>
      </w:r>
    </w:p>
    <w:p w14:paraId="0F235739" w14:textId="156B1C58" w:rsidR="0082640E" w:rsidRDefault="0082640E" w:rsidP="0082640E">
      <w:pPr>
        <w:pStyle w:val="Listeafsnit"/>
        <w:numPr>
          <w:ilvl w:val="2"/>
          <w:numId w:val="1"/>
        </w:numPr>
      </w:pPr>
      <w:r>
        <w:lastRenderedPageBreak/>
        <w:t xml:space="preserve">Det vigtigste i digtet er derimod Tusindårsriget (Det tredje rige), der er et symbol </w:t>
      </w:r>
      <w:r w:rsidR="000B17EC">
        <w:t>på</w:t>
      </w:r>
      <w:r>
        <w:t xml:space="preserve"> Hitlers retorik. </w:t>
      </w:r>
      <w:r w:rsidR="000B17EC">
        <w:t>Hitler manipulerer drengen, der så ender ud med at blive sindssyg. Dvs. at drengen vender sin angst til troen på, at nazisterne opfylder den bibelske profeti.</w:t>
      </w:r>
    </w:p>
    <w:p w14:paraId="59D5D0B7" w14:textId="77777777" w:rsidR="0082640E" w:rsidRDefault="0082640E" w:rsidP="000B17EC">
      <w:pPr>
        <w:pStyle w:val="Listeafsnit"/>
        <w:ind w:left="2880"/>
      </w:pPr>
      <w:r>
        <w:t>”</w:t>
      </w:r>
      <w:r w:rsidRPr="0098380B">
        <w:t>Nazisterne benyttede i årene før og efter magterobringen "Det Tredje Rige" og "tusindårsriget" som politiske slagord, forbundet med forestillingen om Adolf Hitler som frelser</w:t>
      </w:r>
      <w:r>
        <w:t>”</w:t>
      </w:r>
      <w:r w:rsidRPr="0098380B">
        <w:t>.</w:t>
      </w:r>
      <w:r>
        <w:t xml:space="preserve"> (</w:t>
      </w:r>
      <w:hyperlink r:id="rId6" w:history="1">
        <w:r>
          <w:rPr>
            <w:rStyle w:val="Hyperlink"/>
          </w:rPr>
          <w:t>Det Tredje Rige - Nazistisk betegnelse og slagord - lex.dk</w:t>
        </w:r>
      </w:hyperlink>
      <w:r>
        <w:t xml:space="preserve">). </w:t>
      </w:r>
    </w:p>
    <w:p w14:paraId="2E0BF8FE" w14:textId="027365CD" w:rsidR="0082640E" w:rsidRDefault="00FA7FE4" w:rsidP="0082640E">
      <w:pPr>
        <w:pStyle w:val="Listeafsnit"/>
        <w:numPr>
          <w:ilvl w:val="0"/>
          <w:numId w:val="2"/>
        </w:numPr>
      </w:pPr>
      <w:r>
        <w:t>Den sindssyge dreng bliver altså ikke set ned på i Nielsens digt, men blot beskrevet som offer for en psykose.</w:t>
      </w:r>
    </w:p>
    <w:p w14:paraId="66AAF4F0" w14:textId="77777777" w:rsidR="00FA7FE4" w:rsidRDefault="00FA7FE4" w:rsidP="00FA7FE4">
      <w:pPr>
        <w:pStyle w:val="Listeafsnit"/>
        <w:ind w:left="1080"/>
      </w:pPr>
    </w:p>
    <w:p w14:paraId="5DD6BE95" w14:textId="739C52E5" w:rsidR="00034943" w:rsidRDefault="00034943" w:rsidP="00034943">
      <w:pPr>
        <w:pStyle w:val="Listeafsnit"/>
        <w:numPr>
          <w:ilvl w:val="1"/>
          <w:numId w:val="1"/>
        </w:numPr>
      </w:pPr>
      <w:r>
        <w:t>”</w:t>
      </w:r>
      <w:proofErr w:type="spellStart"/>
      <w:r>
        <w:t>Getsemane</w:t>
      </w:r>
      <w:proofErr w:type="spellEnd"/>
      <w:r>
        <w:t xml:space="preserve"> Have” i strofe 14, hvilken historisk reference taler dette ind i?</w:t>
      </w:r>
      <w:r w:rsidR="0091599A">
        <w:t xml:space="preserve"> (</w:t>
      </w:r>
      <w:proofErr w:type="spellStart"/>
      <w:r w:rsidR="0091599A">
        <w:fldChar w:fldCharType="begin"/>
      </w:r>
      <w:r w:rsidR="0091599A">
        <w:instrText>HYPERLINK "https://denstoredanske.lex.dk/Getsemane"</w:instrText>
      </w:r>
      <w:r w:rsidR="0091599A">
        <w:fldChar w:fldCharType="separate"/>
      </w:r>
      <w:r w:rsidR="0091599A">
        <w:rPr>
          <w:rStyle w:val="Hyperlink"/>
        </w:rPr>
        <w:t>Getsemane</w:t>
      </w:r>
      <w:proofErr w:type="spellEnd"/>
      <w:r w:rsidR="0091599A">
        <w:rPr>
          <w:rStyle w:val="Hyperlink"/>
        </w:rPr>
        <w:t xml:space="preserve"> | lex.dk – Den Store Danske</w:t>
      </w:r>
      <w:r w:rsidR="0091599A">
        <w:fldChar w:fldCharType="end"/>
      </w:r>
      <w:r w:rsidR="0091599A">
        <w:t>)</w:t>
      </w:r>
    </w:p>
    <w:p w14:paraId="1712D686" w14:textId="7662FFB1" w:rsidR="000B17EC" w:rsidRDefault="000B17EC" w:rsidP="000B17EC">
      <w:pPr>
        <w:pStyle w:val="Listeafsnit"/>
        <w:numPr>
          <w:ilvl w:val="2"/>
          <w:numId w:val="1"/>
        </w:numPr>
      </w:pPr>
      <w:proofErr w:type="spellStart"/>
      <w:r>
        <w:t>Getsemane</w:t>
      </w:r>
      <w:proofErr w:type="spellEnd"/>
      <w:r>
        <w:t xml:space="preserve"> have er i den have, hvor Jesus gik hen efter sin sidste nadver, og det var på dette historiske sted, hvor han blev taget til fange. Troen på tusindårsriget bliver altså ikke realiserbar for drengen. </w:t>
      </w:r>
    </w:p>
    <w:p w14:paraId="3FD9A8F2" w14:textId="41E4B691" w:rsidR="00034943" w:rsidRPr="00FA7FE4" w:rsidRDefault="00034943" w:rsidP="00034943">
      <w:pPr>
        <w:pStyle w:val="Listeafsnit"/>
        <w:numPr>
          <w:ilvl w:val="0"/>
          <w:numId w:val="1"/>
        </w:numPr>
        <w:rPr>
          <w:b/>
          <w:bCs/>
        </w:rPr>
      </w:pPr>
      <w:r w:rsidRPr="00FA7FE4">
        <w:rPr>
          <w:b/>
          <w:bCs/>
        </w:rPr>
        <w:t>Læg mærke til forårets/vårens beskrivelse i str. 1 og str. 1</w:t>
      </w:r>
      <w:r w:rsidR="00FA7FE4" w:rsidRPr="00FA7FE4">
        <w:rPr>
          <w:b/>
          <w:bCs/>
        </w:rPr>
        <w:t>7</w:t>
      </w:r>
      <w:r w:rsidRPr="00FA7FE4">
        <w:rPr>
          <w:b/>
          <w:bCs/>
        </w:rPr>
        <w:t>:</w:t>
      </w:r>
    </w:p>
    <w:p w14:paraId="54EFCC45" w14:textId="1B45B9CD" w:rsidR="00034943" w:rsidRDefault="00AC7508" w:rsidP="00AC7508">
      <w:pPr>
        <w:pStyle w:val="Listeafsnit"/>
        <w:numPr>
          <w:ilvl w:val="1"/>
          <w:numId w:val="1"/>
        </w:numPr>
      </w:pPr>
      <w:r>
        <w:t>”Det forår bliver var Feber og kulde” (</w:t>
      </w:r>
      <w:r w:rsidR="0010159D">
        <w:t>str. 1</w:t>
      </w:r>
      <w:r>
        <w:t>)</w:t>
      </w:r>
    </w:p>
    <w:p w14:paraId="570279C0" w14:textId="1370A759" w:rsidR="000B17EC" w:rsidRDefault="00AC7508" w:rsidP="00FA7FE4">
      <w:pPr>
        <w:pStyle w:val="Listeafsnit"/>
        <w:numPr>
          <w:ilvl w:val="1"/>
          <w:numId w:val="1"/>
        </w:numPr>
      </w:pPr>
      <w:r>
        <w:t>”Duft af Vaar” (</w:t>
      </w:r>
      <w:r w:rsidR="0010159D">
        <w:t xml:space="preserve">str. </w:t>
      </w:r>
      <w:r>
        <w:t>17).</w:t>
      </w:r>
    </w:p>
    <w:p w14:paraId="6E36A6E5" w14:textId="77777777" w:rsidR="00FA7FE4" w:rsidRDefault="00FA7FE4" w:rsidP="00FA7FE4">
      <w:pPr>
        <w:pStyle w:val="Listeafsnit"/>
        <w:ind w:left="1440"/>
      </w:pPr>
    </w:p>
    <w:p w14:paraId="4BA6C062" w14:textId="64A8CA1E" w:rsidR="00FA7FE4" w:rsidRDefault="00FA7FE4" w:rsidP="00FA7FE4">
      <w:pPr>
        <w:pStyle w:val="Listeafsnit"/>
        <w:numPr>
          <w:ilvl w:val="0"/>
          <w:numId w:val="2"/>
        </w:numPr>
      </w:pPr>
      <w:r>
        <w:t xml:space="preserve">Forårets komme er et symbol på håb, glæde, ungdom og hengivenhed. </w:t>
      </w:r>
      <w:r w:rsidR="003A7BE9">
        <w:t>L</w:t>
      </w:r>
      <w:r>
        <w:t>æg mærke til kontrasten mellem str. 1 og 17.</w:t>
      </w:r>
    </w:p>
    <w:p w14:paraId="15F7F9DF" w14:textId="3B1D0DD7" w:rsidR="003A7BE9" w:rsidRDefault="003A7BE9" w:rsidP="00FA7FE4">
      <w:pPr>
        <w:pStyle w:val="Listeafsnit"/>
        <w:numPr>
          <w:ilvl w:val="0"/>
          <w:numId w:val="2"/>
        </w:numPr>
      </w:pPr>
      <w:r>
        <w:t>Foråret giver et nyt håb i str. 17.</w:t>
      </w:r>
    </w:p>
    <w:p w14:paraId="7BC9CA67" w14:textId="77777777" w:rsidR="00FA7FE4" w:rsidRDefault="00FA7FE4" w:rsidP="00FA7FE4">
      <w:pPr>
        <w:pStyle w:val="Listeafsnit"/>
        <w:ind w:left="1080"/>
      </w:pPr>
    </w:p>
    <w:p w14:paraId="15622761" w14:textId="18D17AD0" w:rsidR="00AC7508" w:rsidRPr="00FA7FE4" w:rsidRDefault="00AC7508" w:rsidP="00AC7508">
      <w:pPr>
        <w:pStyle w:val="Listeafsnit"/>
        <w:numPr>
          <w:ilvl w:val="0"/>
          <w:numId w:val="1"/>
        </w:numPr>
        <w:rPr>
          <w:b/>
          <w:bCs/>
        </w:rPr>
      </w:pPr>
      <w:r w:rsidRPr="00FA7FE4">
        <w:rPr>
          <w:b/>
          <w:bCs/>
        </w:rPr>
        <w:t>Perspektiver til ”Døden” af Morten Nielsen:</w:t>
      </w:r>
    </w:p>
    <w:p w14:paraId="287D68F8" w14:textId="610EFAD4" w:rsidR="00AC7508" w:rsidRDefault="00AC7508" w:rsidP="00FA7FE4">
      <w:pPr>
        <w:pStyle w:val="Listeafsnit"/>
        <w:numPr>
          <w:ilvl w:val="0"/>
          <w:numId w:val="2"/>
        </w:numPr>
      </w:pPr>
      <w:r>
        <w:t>Hvordan forholder det lyriske jeg sig til døden?</w:t>
      </w:r>
    </w:p>
    <w:p w14:paraId="6FD3EB69" w14:textId="4B029800" w:rsidR="0082640E" w:rsidRDefault="00FA7FE4" w:rsidP="00FA7FE4">
      <w:pPr>
        <w:pStyle w:val="Listeafsnit"/>
        <w:numPr>
          <w:ilvl w:val="1"/>
          <w:numId w:val="2"/>
        </w:numPr>
      </w:pPr>
      <w:r>
        <w:t>To opfattelser af døden:</w:t>
      </w:r>
    </w:p>
    <w:p w14:paraId="0FA82743" w14:textId="799C339F" w:rsidR="00FA7FE4" w:rsidRDefault="00FA7FE4" w:rsidP="00FA7FE4">
      <w:pPr>
        <w:pStyle w:val="Listeafsnit"/>
        <w:numPr>
          <w:ilvl w:val="3"/>
          <w:numId w:val="1"/>
        </w:numPr>
      </w:pPr>
      <w:r>
        <w:t>En distanceret og afvisende opfattelse, hvor døden frygtes, fortrænges og dæmoniseres.</w:t>
      </w:r>
    </w:p>
    <w:p w14:paraId="77E0F4B4" w14:textId="3A5ED902" w:rsidR="00FA7FE4" w:rsidRDefault="00FA7FE4" w:rsidP="00FA7FE4">
      <w:pPr>
        <w:pStyle w:val="Listeafsnit"/>
        <w:numPr>
          <w:ilvl w:val="4"/>
          <w:numId w:val="1"/>
        </w:numPr>
      </w:pPr>
      <w:r>
        <w:t>Jeg kender til døden fra barndommen: ”Døden, den har jeg truffet da jeg var Dreng/ Men kun som en stilhed hos nogen/ som jeg hold</w:t>
      </w:r>
      <w:r w:rsidR="003A7BE9">
        <w:t>t</w:t>
      </w:r>
      <w:r>
        <w:t xml:space="preserve"> af” (str. 1)</w:t>
      </w:r>
    </w:p>
    <w:p w14:paraId="0C18A13B" w14:textId="0831C141" w:rsidR="00FA7FE4" w:rsidRDefault="00FA7FE4" w:rsidP="00FA7FE4">
      <w:pPr>
        <w:pStyle w:val="Listeafsnit"/>
        <w:numPr>
          <w:ilvl w:val="4"/>
          <w:numId w:val="1"/>
        </w:numPr>
      </w:pPr>
      <w:r>
        <w:t xml:space="preserve">Modsat ses døden herefter som noget abstrakt, truende, anonymiseret og tabuiseret: ”noget omkring mig, /en kulde, en skygge, / ingen kan nævne ved navn eller vige fra” (str. 1) </w:t>
      </w:r>
    </w:p>
    <w:p w14:paraId="2B9B177E" w14:textId="77777777" w:rsidR="00FA7FE4" w:rsidRDefault="00FA7FE4" w:rsidP="00FA7FE4">
      <w:pPr>
        <w:pStyle w:val="Listeafsnit"/>
        <w:ind w:left="2880"/>
      </w:pPr>
    </w:p>
    <w:p w14:paraId="6A01A7C8" w14:textId="1704CCE8" w:rsidR="0082640E" w:rsidRDefault="00FA7FE4" w:rsidP="0082640E">
      <w:pPr>
        <w:pStyle w:val="Listeafsnit"/>
        <w:numPr>
          <w:ilvl w:val="3"/>
          <w:numId w:val="1"/>
        </w:numPr>
      </w:pPr>
      <w:r>
        <w:t xml:space="preserve">En åben og forsonende opfattelse, hvor døden opleves som en del af livet, og hvor livet ses i tæt relation til døden. </w:t>
      </w:r>
    </w:p>
    <w:p w14:paraId="579AB4D9" w14:textId="77777777" w:rsidR="00FA7FE4" w:rsidRDefault="00FA7FE4" w:rsidP="00FA7FE4">
      <w:pPr>
        <w:pStyle w:val="Listeafsnit"/>
        <w:ind w:left="2880"/>
      </w:pPr>
    </w:p>
    <w:p w14:paraId="002CE181" w14:textId="32DC71CF" w:rsidR="00FA7FE4" w:rsidRDefault="00FA7FE4" w:rsidP="00FA7FE4">
      <w:pPr>
        <w:pStyle w:val="Listeafsnit"/>
        <w:numPr>
          <w:ilvl w:val="3"/>
          <w:numId w:val="2"/>
        </w:numPr>
      </w:pPr>
      <w:r>
        <w:t>Forbundethed mellem døden og jeget: ”Nu kender jeg den igen”, ”Den venter”, ”Vi fører ingen samtale”, ”Vi ved det kun begge to”, ”Vi mødes nok”.</w:t>
      </w:r>
    </w:p>
    <w:p w14:paraId="673F5FF2" w14:textId="65D920BB" w:rsidR="0082640E" w:rsidRPr="00034943" w:rsidRDefault="00FA7FE4" w:rsidP="0082640E">
      <w:pPr>
        <w:pStyle w:val="Listeafsnit"/>
        <w:numPr>
          <w:ilvl w:val="4"/>
          <w:numId w:val="2"/>
        </w:numPr>
      </w:pPr>
      <w:r>
        <w:t xml:space="preserve">Det er en accept af døden som en naturlig del af livet, som man ellers mest finder hos store modne og erfarne digtere, men helt unikt ses det her igennem et ungdommeligt blik. </w:t>
      </w:r>
    </w:p>
    <w:sectPr w:rsidR="0082640E" w:rsidRPr="000349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47D7D"/>
    <w:multiLevelType w:val="hybridMultilevel"/>
    <w:tmpl w:val="78606F00"/>
    <w:lvl w:ilvl="0" w:tplc="596639DE">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 w15:restartNumberingAfterBreak="0">
    <w:nsid w:val="34C536EE"/>
    <w:multiLevelType w:val="hybridMultilevel"/>
    <w:tmpl w:val="8362EFA4"/>
    <w:lvl w:ilvl="0" w:tplc="1CBCD49E">
      <w:start w:val="4"/>
      <w:numFmt w:val="bullet"/>
      <w:lvlText w:val="-"/>
      <w:lvlJc w:val="left"/>
      <w:pPr>
        <w:ind w:left="1664" w:hanging="360"/>
      </w:pPr>
      <w:rPr>
        <w:rFonts w:ascii="Aptos" w:eastAsiaTheme="minorHAnsi" w:hAnsi="Aptos" w:cstheme="minorBidi" w:hint="default"/>
      </w:rPr>
    </w:lvl>
    <w:lvl w:ilvl="1" w:tplc="04060003">
      <w:start w:val="1"/>
      <w:numFmt w:val="bullet"/>
      <w:lvlText w:val="o"/>
      <w:lvlJc w:val="left"/>
      <w:pPr>
        <w:ind w:left="2384" w:hanging="360"/>
      </w:pPr>
      <w:rPr>
        <w:rFonts w:ascii="Courier New" w:hAnsi="Courier New" w:cs="Courier New" w:hint="default"/>
      </w:rPr>
    </w:lvl>
    <w:lvl w:ilvl="2" w:tplc="04060005">
      <w:start w:val="1"/>
      <w:numFmt w:val="bullet"/>
      <w:lvlText w:val=""/>
      <w:lvlJc w:val="left"/>
      <w:pPr>
        <w:ind w:left="3104" w:hanging="360"/>
      </w:pPr>
      <w:rPr>
        <w:rFonts w:ascii="Wingdings" w:hAnsi="Wingdings" w:hint="default"/>
      </w:rPr>
    </w:lvl>
    <w:lvl w:ilvl="3" w:tplc="009E0B84">
      <w:start w:val="1"/>
      <w:numFmt w:val="lowerLetter"/>
      <w:lvlText w:val="%4."/>
      <w:lvlJc w:val="left"/>
      <w:pPr>
        <w:ind w:left="3824" w:hanging="360"/>
      </w:pPr>
      <w:rPr>
        <w:rFonts w:asciiTheme="minorHAnsi" w:eastAsiaTheme="minorHAnsi" w:hAnsiTheme="minorHAnsi" w:cstheme="minorBidi"/>
      </w:rPr>
    </w:lvl>
    <w:lvl w:ilvl="4" w:tplc="04060003">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 w15:restartNumberingAfterBreak="0">
    <w:nsid w:val="45E2214F"/>
    <w:multiLevelType w:val="hybridMultilevel"/>
    <w:tmpl w:val="DFD20E9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72B5835"/>
    <w:multiLevelType w:val="hybridMultilevel"/>
    <w:tmpl w:val="9F5069AA"/>
    <w:lvl w:ilvl="0" w:tplc="6C102214">
      <w:start w:val="2"/>
      <w:numFmt w:val="bullet"/>
      <w:lvlText w:val="-"/>
      <w:lvlJc w:val="left"/>
      <w:pPr>
        <w:ind w:left="1800" w:hanging="360"/>
      </w:pPr>
      <w:rPr>
        <w:rFonts w:ascii="Aptos" w:eastAsiaTheme="minorHAnsi" w:hAnsi="Aptos" w:cstheme="minorBidi" w:hint="default"/>
      </w:rPr>
    </w:lvl>
    <w:lvl w:ilvl="1" w:tplc="04060003">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76723E15"/>
    <w:multiLevelType w:val="hybridMultilevel"/>
    <w:tmpl w:val="92E85764"/>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2313881">
    <w:abstractNumId w:val="2"/>
  </w:num>
  <w:num w:numId="2" w16cid:durableId="498546598">
    <w:abstractNumId w:val="1"/>
  </w:num>
  <w:num w:numId="3" w16cid:durableId="1897352699">
    <w:abstractNumId w:val="4"/>
  </w:num>
  <w:num w:numId="4" w16cid:durableId="1985086678">
    <w:abstractNumId w:val="3"/>
  </w:num>
  <w:num w:numId="5" w16cid:durableId="957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43"/>
    <w:rsid w:val="00034943"/>
    <w:rsid w:val="000B17EC"/>
    <w:rsid w:val="0010159D"/>
    <w:rsid w:val="003A7BE9"/>
    <w:rsid w:val="004A28D3"/>
    <w:rsid w:val="00681FB2"/>
    <w:rsid w:val="0082640E"/>
    <w:rsid w:val="0091599A"/>
    <w:rsid w:val="009F1267"/>
    <w:rsid w:val="00A30981"/>
    <w:rsid w:val="00AC7508"/>
    <w:rsid w:val="00FA7FE4"/>
    <w:rsid w:val="00FB68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71E4"/>
  <w15:chartTrackingRefBased/>
  <w15:docId w15:val="{554BEC3A-464F-4D1A-8534-1296F723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3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3494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3494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3494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3494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494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494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494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349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349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3494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3494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3494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3494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3494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3494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34943"/>
    <w:rPr>
      <w:rFonts w:eastAsiaTheme="majorEastAsia" w:cstheme="majorBidi"/>
      <w:color w:val="272727" w:themeColor="text1" w:themeTint="D8"/>
    </w:rPr>
  </w:style>
  <w:style w:type="paragraph" w:styleId="Titel">
    <w:name w:val="Title"/>
    <w:basedOn w:val="Normal"/>
    <w:next w:val="Normal"/>
    <w:link w:val="TitelTegn"/>
    <w:uiPriority w:val="10"/>
    <w:qFormat/>
    <w:rsid w:val="0003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3494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3494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3494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3494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34943"/>
    <w:rPr>
      <w:i/>
      <w:iCs/>
      <w:color w:val="404040" w:themeColor="text1" w:themeTint="BF"/>
    </w:rPr>
  </w:style>
  <w:style w:type="paragraph" w:styleId="Listeafsnit">
    <w:name w:val="List Paragraph"/>
    <w:basedOn w:val="Normal"/>
    <w:uiPriority w:val="34"/>
    <w:qFormat/>
    <w:rsid w:val="00034943"/>
    <w:pPr>
      <w:ind w:left="720"/>
      <w:contextualSpacing/>
    </w:pPr>
  </w:style>
  <w:style w:type="character" w:styleId="Kraftigfremhvning">
    <w:name w:val="Intense Emphasis"/>
    <w:basedOn w:val="Standardskrifttypeiafsnit"/>
    <w:uiPriority w:val="21"/>
    <w:qFormat/>
    <w:rsid w:val="00034943"/>
    <w:rPr>
      <w:i/>
      <w:iCs/>
      <w:color w:val="0F4761" w:themeColor="accent1" w:themeShade="BF"/>
    </w:rPr>
  </w:style>
  <w:style w:type="paragraph" w:styleId="Strktcitat">
    <w:name w:val="Intense Quote"/>
    <w:basedOn w:val="Normal"/>
    <w:next w:val="Normal"/>
    <w:link w:val="StrktcitatTegn"/>
    <w:uiPriority w:val="30"/>
    <w:qFormat/>
    <w:rsid w:val="0003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34943"/>
    <w:rPr>
      <w:i/>
      <w:iCs/>
      <w:color w:val="0F4761" w:themeColor="accent1" w:themeShade="BF"/>
    </w:rPr>
  </w:style>
  <w:style w:type="character" w:styleId="Kraftighenvisning">
    <w:name w:val="Intense Reference"/>
    <w:basedOn w:val="Standardskrifttypeiafsnit"/>
    <w:uiPriority w:val="32"/>
    <w:qFormat/>
    <w:rsid w:val="00034943"/>
    <w:rPr>
      <w:b/>
      <w:bCs/>
      <w:smallCaps/>
      <w:color w:val="0F4761" w:themeColor="accent1" w:themeShade="BF"/>
      <w:spacing w:val="5"/>
    </w:rPr>
  </w:style>
  <w:style w:type="character" w:styleId="Hyperlink">
    <w:name w:val="Hyperlink"/>
    <w:basedOn w:val="Standardskrifttypeiafsnit"/>
    <w:uiPriority w:val="99"/>
    <w:semiHidden/>
    <w:unhideWhenUsed/>
    <w:rsid w:val="00034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444805">
      <w:bodyDiv w:val="1"/>
      <w:marLeft w:val="0"/>
      <w:marRight w:val="0"/>
      <w:marTop w:val="0"/>
      <w:marBottom w:val="0"/>
      <w:divBdr>
        <w:top w:val="none" w:sz="0" w:space="0" w:color="auto"/>
        <w:left w:val="none" w:sz="0" w:space="0" w:color="auto"/>
        <w:bottom w:val="none" w:sz="0" w:space="0" w:color="auto"/>
        <w:right w:val="none" w:sz="0" w:space="0" w:color="auto"/>
      </w:divBdr>
    </w:div>
    <w:div w:id="411120913">
      <w:bodyDiv w:val="1"/>
      <w:marLeft w:val="0"/>
      <w:marRight w:val="0"/>
      <w:marTop w:val="0"/>
      <w:marBottom w:val="0"/>
      <w:divBdr>
        <w:top w:val="none" w:sz="0" w:space="0" w:color="auto"/>
        <w:left w:val="none" w:sz="0" w:space="0" w:color="auto"/>
        <w:bottom w:val="none" w:sz="0" w:space="0" w:color="auto"/>
        <w:right w:val="none" w:sz="0" w:space="0" w:color="auto"/>
      </w:divBdr>
    </w:div>
    <w:div w:id="11034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nstoredanske.lex.dk/Det_Tredje_Rige" TargetMode="External"/><Relationship Id="rId5" Type="http://schemas.openxmlformats.org/officeDocument/2006/relationships/hyperlink" Target="https://denstoredanske.lex.dk/tusind%C3%A5rsrige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5333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2</cp:revision>
  <dcterms:created xsi:type="dcterms:W3CDTF">2024-04-29T10:13:00Z</dcterms:created>
  <dcterms:modified xsi:type="dcterms:W3CDTF">2024-04-29T10:13:00Z</dcterms:modified>
</cp:coreProperties>
</file>