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2491C" w14:textId="77777777" w:rsidR="001352E1" w:rsidRPr="001352E1" w:rsidRDefault="001352E1" w:rsidP="001352E1">
      <w:pPr>
        <w:spacing w:after="300" w:line="240" w:lineRule="auto"/>
        <w:outlineLvl w:val="0"/>
        <w:rPr>
          <w:rFonts w:ascii="Cambria" w:eastAsia="Times New Roman" w:hAnsi="Cambria" w:cs="Times New Roman"/>
          <w:b/>
          <w:bCs/>
          <w:color w:val="000000"/>
          <w:kern w:val="36"/>
          <w:sz w:val="60"/>
          <w:szCs w:val="60"/>
          <w:lang w:val="es-ES_tradnl" w:eastAsia="da-DK"/>
        </w:rPr>
      </w:pPr>
      <w:r w:rsidRPr="001352E1">
        <w:rPr>
          <w:rFonts w:ascii="Cambria" w:eastAsia="Times New Roman" w:hAnsi="Cambria" w:cs="Times New Roman"/>
          <w:b/>
          <w:bCs/>
          <w:color w:val="000000"/>
          <w:kern w:val="36"/>
          <w:sz w:val="60"/>
          <w:szCs w:val="60"/>
          <w:lang w:val="es-ES_tradnl" w:eastAsia="da-DK"/>
        </w:rPr>
        <w:t xml:space="preserve">Día de </w:t>
      </w:r>
      <w:r w:rsidR="00F55294">
        <w:rPr>
          <w:rFonts w:ascii="Cambria" w:eastAsia="Times New Roman" w:hAnsi="Cambria" w:cs="Times New Roman"/>
          <w:b/>
          <w:bCs/>
          <w:color w:val="000000"/>
          <w:kern w:val="36"/>
          <w:sz w:val="60"/>
          <w:szCs w:val="60"/>
          <w:lang w:val="es-ES_tradnl" w:eastAsia="da-DK"/>
        </w:rPr>
        <w:t xml:space="preserve">los </w:t>
      </w:r>
      <w:r w:rsidRPr="001352E1">
        <w:rPr>
          <w:rFonts w:ascii="Cambria" w:eastAsia="Times New Roman" w:hAnsi="Cambria" w:cs="Times New Roman"/>
          <w:b/>
          <w:bCs/>
          <w:color w:val="000000"/>
          <w:kern w:val="36"/>
          <w:sz w:val="60"/>
          <w:szCs w:val="60"/>
          <w:lang w:val="es-ES_tradnl" w:eastAsia="da-DK"/>
        </w:rPr>
        <w:t>Muertos</w:t>
      </w:r>
    </w:p>
    <w:p w14:paraId="351BA5D8" w14:textId="77777777" w:rsidR="001352E1" w:rsidRPr="001352E1" w:rsidRDefault="001352E1" w:rsidP="001352E1">
      <w:pPr>
        <w:spacing w:after="300" w:line="276" w:lineRule="auto"/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</w:pPr>
      <w:r w:rsidRPr="001352E1">
        <w:rPr>
          <w:noProof/>
          <w:lang w:val="es-ES_tradnl"/>
        </w:rPr>
        <w:drawing>
          <wp:anchor distT="0" distB="0" distL="114300" distR="114300" simplePos="0" relativeHeight="251659264" behindDoc="0" locked="0" layoutInCell="1" allowOverlap="1" wp14:anchorId="0BD70235" wp14:editId="527C5DD4">
            <wp:simplePos x="0" y="0"/>
            <wp:positionH relativeFrom="column">
              <wp:posOffset>3026410</wp:posOffset>
            </wp:positionH>
            <wp:positionV relativeFrom="paragraph">
              <wp:posOffset>3342</wp:posOffset>
            </wp:positionV>
            <wp:extent cx="3437890" cy="2291715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89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El Día de Muertos es una de las fiestas más importantes durante el año en México. Aquí los antiguos rituales 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u w:val="single"/>
          <w:lang w:val="es-ES_tradnl" w:eastAsia="da-DK"/>
        </w:rPr>
        <w:t>se han fusionado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 con la fiesta católica de 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u w:val="single"/>
          <w:lang w:val="es-ES_tradnl" w:eastAsia="da-DK"/>
        </w:rPr>
        <w:t>Todos los Santos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 resultando en una fiesta que reafirma la vida para los 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u w:val="single"/>
          <w:lang w:val="es-ES_tradnl" w:eastAsia="da-DK"/>
        </w:rPr>
        <w:t>difuntos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, 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u w:val="single"/>
          <w:lang w:val="es-ES_tradnl" w:eastAsia="da-DK"/>
        </w:rPr>
        <w:t>cuyas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 almas durante un par de días vuelven al mundo de los vivos para disfrutar de todas las cosas que les gustaban.</w:t>
      </w:r>
    </w:p>
    <w:p w14:paraId="00B60DD0" w14:textId="77777777" w:rsidR="001352E1" w:rsidRPr="001352E1" w:rsidRDefault="001352E1" w:rsidP="001352E1">
      <w:pPr>
        <w:spacing w:after="300" w:line="276" w:lineRule="auto"/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</w:pP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En las casas mexicanas se 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u w:val="single"/>
          <w:lang w:val="es-ES_tradnl" w:eastAsia="da-DK"/>
        </w:rPr>
        <w:t>ponen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 mesas de 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u w:val="single"/>
          <w:lang w:val="es-ES_tradnl" w:eastAsia="da-DK"/>
        </w:rPr>
        <w:t>ofrenda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 para el difunto de la familia con sus 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u w:val="single"/>
          <w:lang w:val="es-ES_tradnl" w:eastAsia="da-DK"/>
        </w:rPr>
        <w:t>platos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 favoritos: torta, frutas, cerveza, Coca-Cola y 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u w:val="single"/>
          <w:lang w:val="es-ES_tradnl" w:eastAsia="da-DK"/>
        </w:rPr>
        <w:t>quizás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 su cigarro favorito, pero también algunas de las cosas especiales de la festividad: El Pan de muerto, chocolate y 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u w:val="single"/>
          <w:lang w:val="es-ES_tradnl" w:eastAsia="da-DK"/>
        </w:rPr>
        <w:t>calaveras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 de azúcar. En algunas familias sientan a un esqueleto en la mesa, 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u w:val="single"/>
          <w:lang w:val="es-ES_tradnl" w:eastAsia="da-DK"/>
        </w:rPr>
        <w:t>en el cual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 el difunto puede habitar durante la fiesta. En edificios públicos son personas famosas o íconos nacionales como Frida Kahlo que cada año 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u w:val="single"/>
          <w:lang w:val="es-ES_tradnl" w:eastAsia="da-DK"/>
        </w:rPr>
        <w:t>son homenajeados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 con un altar.</w:t>
      </w:r>
    </w:p>
    <w:p w14:paraId="633C9CD5" w14:textId="77777777" w:rsidR="00C5403B" w:rsidRDefault="001352E1" w:rsidP="001352E1">
      <w:pPr>
        <w:spacing w:after="30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</w:pPr>
      <w:r w:rsidRPr="001352E1">
        <w:rPr>
          <w:noProof/>
          <w:lang w:val="es-ES_tradnl"/>
        </w:rPr>
        <w:drawing>
          <wp:anchor distT="0" distB="0" distL="114300" distR="114300" simplePos="0" relativeHeight="251658240" behindDoc="0" locked="0" layoutInCell="1" allowOverlap="1" wp14:anchorId="08287F29" wp14:editId="7CA9A309">
            <wp:simplePos x="0" y="0"/>
            <wp:positionH relativeFrom="margin">
              <wp:posOffset>-306738</wp:posOffset>
            </wp:positionH>
            <wp:positionV relativeFrom="paragraph">
              <wp:posOffset>11530</wp:posOffset>
            </wp:positionV>
            <wp:extent cx="3809365" cy="2142490"/>
            <wp:effectExtent l="0" t="0" r="635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365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La noche entre las celebraciones de Todos los Santos y Día de los Fieles Difuntos muchos mexicanos 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u w:val="single"/>
          <w:lang w:val="es-ES_tradnl" w:eastAsia="da-DK"/>
        </w:rPr>
        <w:t>pasan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 la noche en la tumba familiar, que se decora con flores, 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u w:val="single"/>
          <w:lang w:val="es-ES_tradnl" w:eastAsia="da-DK"/>
        </w:rPr>
        <w:t>cirios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 y fotografías. Para mostrar a los muertos el camino hacia el mundo de los vivos los 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u w:val="single"/>
          <w:lang w:val="es-ES_tradnl" w:eastAsia="da-DK"/>
        </w:rPr>
        <w:t>senderos</w:t>
      </w:r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 del cementerio son decorados con </w:t>
      </w:r>
      <w:proofErr w:type="spellStart"/>
      <w:r w:rsidRPr="001352E1">
        <w:rPr>
          <w:rFonts w:ascii="Cambria" w:eastAsia="Times New Roman" w:hAnsi="Cambria" w:cs="Times New Roman"/>
          <w:color w:val="000000"/>
          <w:sz w:val="24"/>
          <w:szCs w:val="24"/>
          <w:u w:val="single"/>
          <w:lang w:val="es-ES_tradnl" w:eastAsia="da-DK"/>
        </w:rPr>
        <w:t>tagetes</w:t>
      </w:r>
      <w:proofErr w:type="spellEnd"/>
      <w:r w:rsidRPr="001352E1">
        <w:rPr>
          <w:rFonts w:ascii="Cambria" w:eastAsia="Times New Roman" w:hAnsi="Cambria" w:cs="Times New Roman"/>
          <w:color w:val="000000"/>
          <w:sz w:val="24"/>
          <w:szCs w:val="24"/>
          <w:lang w:val="es-ES_tradnl" w:eastAsia="da-DK"/>
        </w:rPr>
        <w:t xml:space="preserve"> naranjas, la flor preferida de los muertos. En el último día de la fiesta, la familia vuelve a la casa y “comparten la calavera”, que se llama la comida en la mesa de ofrenda.</w:t>
      </w:r>
    </w:p>
    <w:p w14:paraId="27598108" w14:textId="77777777" w:rsidR="00C5403B" w:rsidRPr="008218F0" w:rsidRDefault="00C5403B" w:rsidP="00C5403B">
      <w:pPr>
        <w:rPr>
          <w:rFonts w:ascii="Cambria" w:hAnsi="Cambria"/>
          <w:b/>
          <w:bCs/>
          <w:lang w:val="es-ES"/>
        </w:rPr>
        <w:sectPr w:rsidR="00C5403B" w:rsidRPr="008218F0" w:rsidSect="00C5403B">
          <w:pgSz w:w="11906" w:h="16838"/>
          <w:pgMar w:top="993" w:right="1134" w:bottom="284" w:left="1134" w:header="708" w:footer="708" w:gutter="0"/>
          <w:cols w:space="708"/>
          <w:docGrid w:linePitch="360"/>
        </w:sectPr>
      </w:pPr>
    </w:p>
    <w:p w14:paraId="2FB7D331" w14:textId="77777777" w:rsidR="00C5403B" w:rsidRPr="008218F0" w:rsidRDefault="00C5403B" w:rsidP="00C5403B">
      <w:pPr>
        <w:rPr>
          <w:rFonts w:ascii="Cambria" w:hAnsi="Cambria"/>
          <w:b/>
          <w:bCs/>
          <w:lang w:val="es-ES"/>
        </w:rPr>
      </w:pPr>
    </w:p>
    <w:p w14:paraId="3A2DDCFC" w14:textId="77777777" w:rsidR="00C5403B" w:rsidRPr="008218F0" w:rsidRDefault="00C5403B" w:rsidP="00C5403B">
      <w:pPr>
        <w:rPr>
          <w:rFonts w:ascii="Cambria" w:hAnsi="Cambria"/>
          <w:b/>
          <w:bCs/>
          <w:lang w:val="es-ES"/>
        </w:rPr>
      </w:pPr>
      <w:r w:rsidRPr="008218F0">
        <w:rPr>
          <w:rFonts w:ascii="Cambria" w:hAnsi="Cambria"/>
          <w:b/>
          <w:bCs/>
          <w:lang w:val="es-ES"/>
        </w:rPr>
        <w:t>Gloser</w:t>
      </w:r>
    </w:p>
    <w:p w14:paraId="0C8395C1" w14:textId="77777777" w:rsidR="00C5403B" w:rsidRPr="008218F0" w:rsidRDefault="00C5403B" w:rsidP="00C5403B">
      <w:pPr>
        <w:rPr>
          <w:rFonts w:ascii="Cambria" w:hAnsi="Cambria"/>
          <w:lang w:val="es-ES"/>
        </w:rPr>
      </w:pPr>
      <w:r w:rsidRPr="008218F0">
        <w:rPr>
          <w:rFonts w:ascii="Cambria" w:hAnsi="Cambria"/>
          <w:lang w:val="es-ES"/>
        </w:rPr>
        <w:t>Fusionarse: Smelte sammen med</w:t>
      </w:r>
    </w:p>
    <w:p w14:paraId="2F14B74D" w14:textId="77777777" w:rsidR="00C5403B" w:rsidRPr="008218F0" w:rsidRDefault="00C5403B" w:rsidP="00C5403B">
      <w:pPr>
        <w:rPr>
          <w:rFonts w:ascii="Cambria" w:hAnsi="Cambria"/>
          <w:lang w:val="es-ES"/>
        </w:rPr>
      </w:pPr>
      <w:r w:rsidRPr="008218F0">
        <w:rPr>
          <w:rFonts w:ascii="Cambria" w:hAnsi="Cambria"/>
          <w:lang w:val="es-ES"/>
        </w:rPr>
        <w:t>Todos los Santos: Allehelgensfest</w:t>
      </w:r>
    </w:p>
    <w:p w14:paraId="48C8C290" w14:textId="77777777" w:rsidR="00C5403B" w:rsidRPr="008218F0" w:rsidRDefault="00C5403B" w:rsidP="00C5403B">
      <w:pPr>
        <w:rPr>
          <w:rFonts w:ascii="Cambria" w:hAnsi="Cambria"/>
          <w:lang w:val="es-ES"/>
        </w:rPr>
      </w:pPr>
      <w:r w:rsidRPr="008218F0">
        <w:rPr>
          <w:rFonts w:ascii="Cambria" w:hAnsi="Cambria"/>
          <w:lang w:val="es-ES"/>
        </w:rPr>
        <w:t>Difunto: Afdød</w:t>
      </w:r>
    </w:p>
    <w:p w14:paraId="58DCF3FD" w14:textId="77777777" w:rsidR="00C5403B" w:rsidRPr="008218F0" w:rsidRDefault="00C5403B" w:rsidP="00C5403B">
      <w:pPr>
        <w:rPr>
          <w:rFonts w:ascii="Cambria" w:hAnsi="Cambria"/>
          <w:lang w:val="es-ES"/>
        </w:rPr>
      </w:pPr>
      <w:r w:rsidRPr="008218F0">
        <w:rPr>
          <w:rFonts w:ascii="Cambria" w:hAnsi="Cambria"/>
          <w:lang w:val="es-ES"/>
        </w:rPr>
        <w:t>Cuyo: Hvis (relativt)</w:t>
      </w:r>
    </w:p>
    <w:p w14:paraId="2F891D68" w14:textId="77777777" w:rsidR="00C5403B" w:rsidRPr="008218F0" w:rsidRDefault="00C5403B" w:rsidP="00C5403B">
      <w:pPr>
        <w:rPr>
          <w:rFonts w:ascii="Cambria" w:hAnsi="Cambria"/>
          <w:lang w:val="es-ES"/>
        </w:rPr>
      </w:pPr>
      <w:r w:rsidRPr="008218F0">
        <w:rPr>
          <w:rFonts w:ascii="Cambria" w:hAnsi="Cambria"/>
          <w:lang w:val="es-ES"/>
        </w:rPr>
        <w:t>Poner: Stille</w:t>
      </w:r>
    </w:p>
    <w:p w14:paraId="3A39F938" w14:textId="77777777" w:rsidR="00C5403B" w:rsidRPr="008218F0" w:rsidRDefault="00C5403B" w:rsidP="00C5403B">
      <w:pPr>
        <w:rPr>
          <w:rFonts w:ascii="Cambria" w:hAnsi="Cambria"/>
          <w:lang w:val="es-ES"/>
        </w:rPr>
      </w:pPr>
      <w:r w:rsidRPr="008218F0">
        <w:rPr>
          <w:rFonts w:ascii="Cambria" w:hAnsi="Cambria"/>
          <w:lang w:val="es-ES"/>
        </w:rPr>
        <w:t>Ofrenda: Offer</w:t>
      </w:r>
    </w:p>
    <w:p w14:paraId="5D1ABC66" w14:textId="77777777" w:rsidR="00C5403B" w:rsidRPr="008218F0" w:rsidRDefault="00C5403B" w:rsidP="00C5403B">
      <w:pPr>
        <w:rPr>
          <w:rFonts w:ascii="Cambria" w:hAnsi="Cambria"/>
          <w:lang w:val="es-ES"/>
        </w:rPr>
      </w:pPr>
      <w:r w:rsidRPr="008218F0">
        <w:rPr>
          <w:rFonts w:ascii="Cambria" w:hAnsi="Cambria"/>
          <w:lang w:val="es-ES"/>
        </w:rPr>
        <w:t>Plato: Ret</w:t>
      </w:r>
    </w:p>
    <w:p w14:paraId="65BA73D6" w14:textId="77777777" w:rsidR="00C5403B" w:rsidRPr="008218F0" w:rsidRDefault="00C5403B" w:rsidP="00C5403B">
      <w:pPr>
        <w:rPr>
          <w:rFonts w:ascii="Cambria" w:hAnsi="Cambria"/>
          <w:lang w:val="es-ES"/>
        </w:rPr>
      </w:pPr>
    </w:p>
    <w:p w14:paraId="3CFAD054" w14:textId="77777777" w:rsidR="00C5403B" w:rsidRPr="008218F0" w:rsidRDefault="00C5403B" w:rsidP="00C5403B">
      <w:pPr>
        <w:rPr>
          <w:rFonts w:ascii="Cambria" w:hAnsi="Cambria"/>
          <w:lang w:val="es-ES"/>
        </w:rPr>
      </w:pPr>
      <w:r w:rsidRPr="008218F0">
        <w:rPr>
          <w:rFonts w:ascii="Cambria" w:hAnsi="Cambria"/>
          <w:lang w:val="es-ES"/>
        </w:rPr>
        <w:t xml:space="preserve">Quizás: Måske </w:t>
      </w:r>
    </w:p>
    <w:p w14:paraId="7D16FC74" w14:textId="77777777" w:rsidR="00C5403B" w:rsidRPr="008218F0" w:rsidRDefault="00C5403B" w:rsidP="00C5403B">
      <w:pPr>
        <w:rPr>
          <w:rFonts w:ascii="Cambria" w:hAnsi="Cambria"/>
          <w:lang w:val="es-ES"/>
        </w:rPr>
      </w:pPr>
      <w:r w:rsidRPr="008218F0">
        <w:rPr>
          <w:rFonts w:ascii="Cambria" w:hAnsi="Cambria"/>
          <w:lang w:val="es-ES"/>
        </w:rPr>
        <w:t>Calavera: Dødningehoved</w:t>
      </w:r>
    </w:p>
    <w:p w14:paraId="75DFFB74" w14:textId="77777777" w:rsidR="00C5403B" w:rsidRPr="008218F0" w:rsidRDefault="00C5403B" w:rsidP="00C5403B">
      <w:pPr>
        <w:rPr>
          <w:rFonts w:ascii="Cambria" w:hAnsi="Cambria"/>
          <w:lang w:val="es-ES"/>
        </w:rPr>
      </w:pPr>
      <w:r w:rsidRPr="008218F0">
        <w:rPr>
          <w:rFonts w:ascii="Cambria" w:hAnsi="Cambria"/>
          <w:lang w:val="es-ES"/>
        </w:rPr>
        <w:t>En el cual: Hvorpå</w:t>
      </w:r>
    </w:p>
    <w:p w14:paraId="2CBE8129" w14:textId="77777777" w:rsidR="00C5403B" w:rsidRPr="008218F0" w:rsidRDefault="00C5403B" w:rsidP="00C5403B">
      <w:pPr>
        <w:rPr>
          <w:rFonts w:ascii="Cambria" w:hAnsi="Cambria"/>
          <w:lang w:val="es-ES"/>
        </w:rPr>
      </w:pPr>
      <w:r w:rsidRPr="008218F0">
        <w:rPr>
          <w:rFonts w:ascii="Cambria" w:hAnsi="Cambria"/>
          <w:lang w:val="es-ES"/>
        </w:rPr>
        <w:t>Ser homenajeado: Blive hyldet</w:t>
      </w:r>
    </w:p>
    <w:p w14:paraId="236DCAA7" w14:textId="77777777" w:rsidR="00C5403B" w:rsidRPr="008218F0" w:rsidRDefault="00C5403B" w:rsidP="00C5403B">
      <w:pPr>
        <w:rPr>
          <w:rFonts w:ascii="Cambria" w:hAnsi="Cambria"/>
          <w:lang w:val="es-ES"/>
        </w:rPr>
      </w:pPr>
      <w:r w:rsidRPr="008218F0">
        <w:rPr>
          <w:rFonts w:ascii="Cambria" w:hAnsi="Cambria"/>
          <w:lang w:val="es-ES"/>
        </w:rPr>
        <w:t>Pasar: Tilbringe</w:t>
      </w:r>
    </w:p>
    <w:p w14:paraId="46042A74" w14:textId="77777777" w:rsidR="00C5403B" w:rsidRPr="008218F0" w:rsidRDefault="00C5403B" w:rsidP="00C5403B">
      <w:pPr>
        <w:rPr>
          <w:rFonts w:ascii="Cambria" w:hAnsi="Cambria"/>
          <w:lang w:val="es-ES"/>
        </w:rPr>
      </w:pPr>
      <w:r w:rsidRPr="008218F0">
        <w:rPr>
          <w:rFonts w:ascii="Cambria" w:hAnsi="Cambria"/>
          <w:lang w:val="es-ES"/>
        </w:rPr>
        <w:t>Cirio: Alterlys</w:t>
      </w:r>
    </w:p>
    <w:p w14:paraId="28DD906A" w14:textId="77777777" w:rsidR="00C5403B" w:rsidRPr="008218F0" w:rsidRDefault="00C5403B" w:rsidP="00C5403B">
      <w:pPr>
        <w:rPr>
          <w:rFonts w:ascii="Cambria" w:hAnsi="Cambria"/>
          <w:lang w:val="es-ES"/>
        </w:rPr>
      </w:pPr>
      <w:r w:rsidRPr="008218F0">
        <w:rPr>
          <w:rFonts w:ascii="Cambria" w:hAnsi="Cambria"/>
          <w:lang w:val="es-ES"/>
        </w:rPr>
        <w:t>Sendero: Sti</w:t>
      </w:r>
    </w:p>
    <w:p w14:paraId="56F9F80A" w14:textId="77777777" w:rsidR="00C5403B" w:rsidRPr="008218F0" w:rsidRDefault="00C5403B" w:rsidP="00C5403B">
      <w:pPr>
        <w:rPr>
          <w:rFonts w:ascii="Cambria" w:hAnsi="Cambria"/>
          <w:lang w:val="es-ES"/>
        </w:rPr>
      </w:pPr>
      <w:r w:rsidRPr="008218F0">
        <w:rPr>
          <w:rFonts w:ascii="Cambria" w:hAnsi="Cambria"/>
          <w:lang w:val="es-ES"/>
        </w:rPr>
        <w:t>Tagetes: Tagetes (blomsterart)</w:t>
      </w:r>
    </w:p>
    <w:p w14:paraId="4EAD870D" w14:textId="77777777" w:rsidR="00C5403B" w:rsidRPr="008218F0" w:rsidRDefault="00C5403B" w:rsidP="00C5403B">
      <w:pPr>
        <w:rPr>
          <w:rFonts w:ascii="Cambria" w:hAnsi="Cambria" w:cs="Arial"/>
          <w:color w:val="222222"/>
          <w:sz w:val="24"/>
          <w:szCs w:val="24"/>
          <w:shd w:val="clear" w:color="auto" w:fill="FFFFFF"/>
          <w:lang w:val="es-ES"/>
        </w:rPr>
        <w:sectPr w:rsidR="00C5403B" w:rsidRPr="008218F0" w:rsidSect="00C5403B">
          <w:type w:val="continuous"/>
          <w:pgSz w:w="11906" w:h="16838"/>
          <w:pgMar w:top="1701" w:right="1134" w:bottom="284" w:left="1134" w:header="708" w:footer="708" w:gutter="0"/>
          <w:cols w:num="2" w:space="708"/>
          <w:docGrid w:linePitch="360"/>
        </w:sectPr>
      </w:pPr>
    </w:p>
    <w:p w14:paraId="7222DB61" w14:textId="77777777" w:rsidR="00C5403B" w:rsidRPr="008218F0" w:rsidRDefault="00C5403B" w:rsidP="00C5403B">
      <w:pPr>
        <w:rPr>
          <w:rFonts w:ascii="Cambria" w:hAnsi="Cambria" w:cs="Arial"/>
          <w:color w:val="222222"/>
          <w:sz w:val="24"/>
          <w:szCs w:val="24"/>
          <w:shd w:val="clear" w:color="auto" w:fill="FFFFFF"/>
          <w:lang w:val="es-ES"/>
        </w:rPr>
      </w:pPr>
    </w:p>
    <w:p w14:paraId="3E471A64" w14:textId="77777777" w:rsidR="00C5403B" w:rsidRPr="008218F0" w:rsidRDefault="00C5403B" w:rsidP="00C5403B">
      <w:pPr>
        <w:rPr>
          <w:rFonts w:ascii="Cambria" w:hAnsi="Cambria" w:cs="Arial"/>
          <w:color w:val="222222"/>
          <w:sz w:val="24"/>
          <w:szCs w:val="24"/>
          <w:shd w:val="clear" w:color="auto" w:fill="FFFFFF"/>
          <w:lang w:val="es-ES"/>
        </w:rPr>
      </w:pPr>
    </w:p>
    <w:p w14:paraId="48CC356F" w14:textId="77777777" w:rsidR="00C5403B" w:rsidRPr="008218F0" w:rsidRDefault="00C5403B" w:rsidP="00C5403B">
      <w:pPr>
        <w:rPr>
          <w:rFonts w:ascii="Cambria" w:hAnsi="Cambria" w:cs="Arial"/>
          <w:color w:val="222222"/>
          <w:sz w:val="24"/>
          <w:szCs w:val="24"/>
          <w:shd w:val="clear" w:color="auto" w:fill="FFFFFF"/>
          <w:lang w:val="es-ES"/>
        </w:rPr>
      </w:pPr>
    </w:p>
    <w:p w14:paraId="5D2ACB9F" w14:textId="77777777" w:rsidR="00C5403B" w:rsidRPr="008218F0" w:rsidRDefault="00C5403B" w:rsidP="00C5403B">
      <w:pPr>
        <w:rPr>
          <w:rFonts w:ascii="Cambria" w:hAnsi="Cambria" w:cs="Arial"/>
          <w:color w:val="222222"/>
          <w:sz w:val="24"/>
          <w:szCs w:val="24"/>
          <w:shd w:val="clear" w:color="auto" w:fill="FFFFFF"/>
          <w:lang w:val="es-ES"/>
        </w:rPr>
      </w:pPr>
      <w:r w:rsidRPr="008218F0">
        <w:rPr>
          <w:rFonts w:ascii="Cambria" w:hAnsi="Cambria" w:cs="Arial"/>
          <w:color w:val="222222"/>
          <w:sz w:val="24"/>
          <w:szCs w:val="24"/>
          <w:shd w:val="clear" w:color="auto" w:fill="FFFFFF"/>
          <w:lang w:val="es-ES"/>
        </w:rPr>
        <w:t xml:space="preserve">Día de los fieles difuntos (Alle Sjæles Dag) er en romerskkatolsk højtid og fejres den 2. november. Frem for alt fokuserer man på de afdøde slægtninge. </w:t>
      </w:r>
    </w:p>
    <w:p w14:paraId="4DD28CF8" w14:textId="77777777" w:rsidR="00C5403B" w:rsidRPr="00C5403B" w:rsidRDefault="00C5403B" w:rsidP="00C5403B">
      <w:pPr>
        <w:rPr>
          <w:rFonts w:ascii="Cambria" w:hAnsi="Cambria"/>
          <w:sz w:val="24"/>
          <w:szCs w:val="24"/>
        </w:rPr>
        <w:sectPr w:rsidR="00C5403B" w:rsidRPr="00C5403B" w:rsidSect="00C5403B">
          <w:type w:val="continuous"/>
          <w:pgSz w:w="11906" w:h="16838"/>
          <w:pgMar w:top="1701" w:right="1134" w:bottom="284" w:left="1134" w:header="708" w:footer="708" w:gutter="0"/>
          <w:cols w:space="708"/>
          <w:docGrid w:linePitch="360"/>
        </w:sectPr>
      </w:pPr>
      <w:r w:rsidRPr="00C5403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Dagen falder på dagen efter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Todos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los Santos (</w:t>
      </w:r>
      <w:r w:rsidRPr="00C5403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allehelgensdag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)</w:t>
      </w:r>
      <w:r w:rsidRPr="00C5403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 hvor man fejrer helgener, som allerede er frelste.</w:t>
      </w:r>
    </w:p>
    <w:p w14:paraId="2176E9C0" w14:textId="77777777" w:rsidR="00C5403B" w:rsidRDefault="00C5403B">
      <w:pPr>
        <w:rPr>
          <w:rFonts w:ascii="Cambria" w:hAnsi="Cambria"/>
          <w:lang w:val="es-ES_tradnl"/>
        </w:rPr>
        <w:sectPr w:rsidR="00C5403B" w:rsidSect="00C5403B">
          <w:type w:val="continuous"/>
          <w:pgSz w:w="11906" w:h="16838"/>
          <w:pgMar w:top="1701" w:right="1134" w:bottom="284" w:left="1134" w:header="708" w:footer="708" w:gutter="0"/>
          <w:cols w:space="708"/>
          <w:docGrid w:linePitch="360"/>
        </w:sectPr>
      </w:pPr>
    </w:p>
    <w:p w14:paraId="69F2348D" w14:textId="77777777" w:rsidR="001352E1" w:rsidRPr="001352E1" w:rsidRDefault="001352E1">
      <w:pPr>
        <w:rPr>
          <w:rFonts w:ascii="Cambria" w:hAnsi="Cambria"/>
          <w:lang w:val="es-ES_tradnl"/>
        </w:rPr>
      </w:pPr>
    </w:p>
    <w:sectPr w:rsidR="001352E1" w:rsidRPr="001352E1" w:rsidSect="00C5403B">
      <w:type w:val="continuous"/>
      <w:pgSz w:w="11906" w:h="16838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E1"/>
    <w:rsid w:val="001352E1"/>
    <w:rsid w:val="00145213"/>
    <w:rsid w:val="00357709"/>
    <w:rsid w:val="005570A2"/>
    <w:rsid w:val="008218F0"/>
    <w:rsid w:val="00AE3F31"/>
    <w:rsid w:val="00C5403B"/>
    <w:rsid w:val="00F5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C9EF"/>
  <w15:chartTrackingRefBased/>
  <w15:docId w15:val="{305A7278-B06B-489F-B029-8A667201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135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352E1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13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9D6E-9252-4B95-B366-1E0B7272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Egholm Wendelboe</dc:creator>
  <cp:keywords/>
  <dc:description/>
  <cp:lastModifiedBy>Louise T. Iversen</cp:lastModifiedBy>
  <cp:revision>2</cp:revision>
  <dcterms:created xsi:type="dcterms:W3CDTF">2024-11-04T19:38:00Z</dcterms:created>
  <dcterms:modified xsi:type="dcterms:W3CDTF">2024-11-04T19:38:00Z</dcterms:modified>
</cp:coreProperties>
</file>