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C249B" w14:textId="77777777" w:rsidR="00373B2D" w:rsidRPr="00373B2D" w:rsidRDefault="00373B2D" w:rsidP="002A195C">
      <w:pPr>
        <w:spacing w:after="0" w:line="360" w:lineRule="auto"/>
        <w:jc w:val="both"/>
        <w:outlineLvl w:val="3"/>
        <w:rPr>
          <w:rFonts w:eastAsia="Times New Roman" w:cs="Times New Roman"/>
          <w:color w:val="231F20"/>
          <w:sz w:val="36"/>
          <w:szCs w:val="36"/>
          <w:lang w:val="en-US" w:eastAsia="da-DK"/>
        </w:rPr>
      </w:pPr>
      <w:r w:rsidRPr="00373B2D">
        <w:rPr>
          <w:rFonts w:eastAsia="Times New Roman" w:cs="Times New Roman"/>
          <w:color w:val="231F20"/>
          <w:sz w:val="36"/>
          <w:szCs w:val="36"/>
          <w:lang w:val="en-US" w:eastAsia="da-DK"/>
        </w:rPr>
        <w:t xml:space="preserve">Dommen </w:t>
      </w:r>
      <w:proofErr w:type="spellStart"/>
      <w:r w:rsidRPr="00373B2D">
        <w:rPr>
          <w:rFonts w:eastAsia="Times New Roman" w:cs="Times New Roman"/>
          <w:color w:val="231F20"/>
          <w:sz w:val="36"/>
          <w:szCs w:val="36"/>
          <w:lang w:val="en-US" w:eastAsia="da-DK"/>
        </w:rPr>
        <w:t>i</w:t>
      </w:r>
      <w:proofErr w:type="spellEnd"/>
      <w:r w:rsidRPr="00373B2D">
        <w:rPr>
          <w:rFonts w:eastAsia="Times New Roman" w:cs="Times New Roman"/>
          <w:color w:val="231F20"/>
          <w:sz w:val="36"/>
          <w:szCs w:val="36"/>
          <w:lang w:val="en-US" w:eastAsia="da-DK"/>
        </w:rPr>
        <w:t xml:space="preserve"> ”Brown vs. Board of Education of Topeka”-</w:t>
      </w:r>
      <w:proofErr w:type="spellStart"/>
      <w:r w:rsidRPr="00373B2D">
        <w:rPr>
          <w:rFonts w:eastAsia="Times New Roman" w:cs="Times New Roman"/>
          <w:color w:val="231F20"/>
          <w:sz w:val="36"/>
          <w:szCs w:val="36"/>
          <w:lang w:val="en-US" w:eastAsia="da-DK"/>
        </w:rPr>
        <w:t>sagen</w:t>
      </w:r>
      <w:proofErr w:type="spellEnd"/>
      <w:r w:rsidRPr="00373B2D">
        <w:rPr>
          <w:rFonts w:eastAsia="Times New Roman" w:cs="Times New Roman"/>
          <w:color w:val="231F20"/>
          <w:sz w:val="36"/>
          <w:szCs w:val="36"/>
          <w:lang w:val="en-US" w:eastAsia="da-DK"/>
        </w:rPr>
        <w:t xml:space="preserve"> 1954</w:t>
      </w:r>
    </w:p>
    <w:p w14:paraId="77C533FC" w14:textId="77777777" w:rsidR="002A195C" w:rsidRPr="00D01B95" w:rsidRDefault="002A195C" w:rsidP="002A195C">
      <w:pPr>
        <w:spacing w:before="100" w:beforeAutospacing="1" w:after="150" w:line="360" w:lineRule="auto"/>
        <w:jc w:val="both"/>
        <w:rPr>
          <w:rFonts w:eastAsia="Times New Roman" w:cs="Arial"/>
          <w:color w:val="231F20"/>
          <w:sz w:val="24"/>
          <w:szCs w:val="24"/>
          <w:lang w:val="en-US" w:eastAsia="da-DK"/>
        </w:rPr>
        <w:sectPr w:rsidR="002A195C" w:rsidRPr="00D01B95" w:rsidSect="00DC5B3D">
          <w:headerReference w:type="default" r:id="rId8"/>
          <w:pgSz w:w="11906" w:h="16838"/>
          <w:pgMar w:top="1701" w:right="1134" w:bottom="1701" w:left="1134" w:header="708" w:footer="708" w:gutter="0"/>
          <w:cols w:space="708"/>
          <w:docGrid w:linePitch="360"/>
        </w:sectPr>
      </w:pPr>
    </w:p>
    <w:p w14:paraId="6368370B" w14:textId="77777777" w:rsidR="00373B2D" w:rsidRPr="00373B2D" w:rsidRDefault="00373B2D" w:rsidP="002A195C">
      <w:pPr>
        <w:spacing w:before="100" w:beforeAutospacing="1" w:after="150" w:line="360" w:lineRule="auto"/>
        <w:jc w:val="both"/>
        <w:rPr>
          <w:rFonts w:eastAsia="Times New Roman" w:cs="Arial"/>
          <w:color w:val="231F20"/>
          <w:sz w:val="24"/>
          <w:szCs w:val="24"/>
          <w:lang w:eastAsia="da-DK"/>
        </w:rPr>
      </w:pPr>
      <w:r w:rsidRPr="00373B2D">
        <w:rPr>
          <w:rFonts w:eastAsia="Times New Roman" w:cs="Arial"/>
          <w:color w:val="231F20"/>
          <w:sz w:val="24"/>
          <w:szCs w:val="24"/>
          <w:lang w:eastAsia="da-DK"/>
        </w:rPr>
        <w:t>Disse sager er blevet indbragt fra staterne Kansas, South Carolina, Virginia og Delaware (…)</w:t>
      </w:r>
    </w:p>
    <w:p w14:paraId="30147B70" w14:textId="77777777" w:rsidR="00373B2D" w:rsidRPr="00373B2D" w:rsidRDefault="00373B2D" w:rsidP="002A195C">
      <w:pPr>
        <w:spacing w:before="100" w:beforeAutospacing="1" w:after="150" w:line="360" w:lineRule="auto"/>
        <w:jc w:val="both"/>
        <w:rPr>
          <w:rFonts w:eastAsia="Times New Roman" w:cs="Arial"/>
          <w:color w:val="231F20"/>
          <w:sz w:val="24"/>
          <w:szCs w:val="24"/>
          <w:lang w:eastAsia="da-DK"/>
        </w:rPr>
      </w:pPr>
      <w:r w:rsidRPr="00373B2D">
        <w:rPr>
          <w:rFonts w:eastAsia="Times New Roman" w:cs="Arial"/>
          <w:color w:val="231F20"/>
          <w:sz w:val="24"/>
          <w:szCs w:val="24"/>
          <w:lang w:eastAsia="da-DK"/>
        </w:rPr>
        <w:t>I hver af disse sager søger mindreårige af negerracen rettens hjælp til at opnå raceintegreret adgang til de offentlige skoler i deres lokalsamfund. I hver enkelt sag er de, med henvisning til love der kræver eller tillader raceadskillelse, blevet nægtet adgang til skoler hvor der går hvide børn. Denne raceadskillelse vil angiveligt berøve sagsøgerne den lige beskyttelse under loven, som 14.</w:t>
      </w:r>
      <w:r w:rsidR="002A195C">
        <w:rPr>
          <w:rFonts w:eastAsia="Times New Roman" w:cs="Arial"/>
          <w:color w:val="231F20"/>
          <w:sz w:val="24"/>
          <w:szCs w:val="24"/>
          <w:lang w:eastAsia="da-DK"/>
        </w:rPr>
        <w:t xml:space="preserve"> f</w:t>
      </w:r>
      <w:r w:rsidRPr="00373B2D">
        <w:rPr>
          <w:rFonts w:eastAsia="Times New Roman" w:cs="Arial"/>
          <w:color w:val="231F20"/>
          <w:sz w:val="24"/>
          <w:szCs w:val="24"/>
          <w:lang w:eastAsia="da-DK"/>
        </w:rPr>
        <w:t>orfatningstillæg</w:t>
      </w:r>
      <w:r w:rsidR="00084F0F">
        <w:rPr>
          <w:rStyle w:val="Fodnotehenvisning"/>
          <w:rFonts w:eastAsia="Times New Roman" w:cs="Arial"/>
          <w:color w:val="231F20"/>
          <w:sz w:val="24"/>
          <w:szCs w:val="24"/>
          <w:lang w:eastAsia="da-DK"/>
        </w:rPr>
        <w:footnoteReference w:id="1"/>
      </w:r>
      <w:r w:rsidRPr="00373B2D">
        <w:rPr>
          <w:rFonts w:eastAsia="Times New Roman" w:cs="Arial"/>
          <w:color w:val="231F20"/>
          <w:sz w:val="24"/>
          <w:szCs w:val="24"/>
          <w:lang w:eastAsia="da-DK"/>
        </w:rPr>
        <w:t xml:space="preserve"> giver. I hver enkelt sag, undtagen Delawaresagen, har en føderal distriktsdomstol, bestående af tre dommere, nægtet sagsøgerne medhold med henvisning til den såkaldte “adskilt men lige”-doktrin</w:t>
      </w:r>
      <w:r w:rsidR="006602C9">
        <w:rPr>
          <w:rStyle w:val="Fodnotehenvisning"/>
          <w:rFonts w:eastAsia="Times New Roman" w:cs="Arial"/>
          <w:color w:val="231F20"/>
          <w:sz w:val="24"/>
          <w:szCs w:val="24"/>
          <w:lang w:eastAsia="da-DK"/>
        </w:rPr>
        <w:footnoteReference w:id="2"/>
      </w:r>
      <w:r w:rsidRPr="00373B2D">
        <w:rPr>
          <w:rFonts w:eastAsia="Times New Roman" w:cs="Arial"/>
          <w:color w:val="231F20"/>
          <w:sz w:val="24"/>
          <w:szCs w:val="24"/>
          <w:lang w:eastAsia="da-DK"/>
        </w:rPr>
        <w:t xml:space="preserve">, som blev bekendtgjort af denne domstol i </w:t>
      </w:r>
      <w:proofErr w:type="spellStart"/>
      <w:r w:rsidRPr="00373B2D">
        <w:rPr>
          <w:rFonts w:eastAsia="Times New Roman" w:cs="Arial"/>
          <w:color w:val="231F20"/>
          <w:sz w:val="24"/>
          <w:szCs w:val="24"/>
          <w:lang w:eastAsia="da-DK"/>
        </w:rPr>
        <w:t>Plessy</w:t>
      </w:r>
      <w:proofErr w:type="spellEnd"/>
      <w:r w:rsidRPr="00373B2D">
        <w:rPr>
          <w:rFonts w:eastAsia="Times New Roman" w:cs="Arial"/>
          <w:color w:val="231F20"/>
          <w:sz w:val="24"/>
          <w:szCs w:val="24"/>
          <w:lang w:eastAsia="da-DK"/>
        </w:rPr>
        <w:t xml:space="preserve"> vs. Ferguson-sagen. Ifølge denne doktrin bliver racerne behandlet lige, når de i betydelig grad har adgang til lige faciliteter, selv om disse faciliteter måtte være adskilte. (…)</w:t>
      </w:r>
    </w:p>
    <w:p w14:paraId="1CD03462" w14:textId="77777777" w:rsidR="00373B2D" w:rsidRPr="00373B2D" w:rsidRDefault="00373B2D" w:rsidP="002A195C">
      <w:pPr>
        <w:spacing w:before="100" w:beforeAutospacing="1" w:after="150" w:line="360" w:lineRule="auto"/>
        <w:jc w:val="both"/>
        <w:rPr>
          <w:rFonts w:eastAsia="Times New Roman" w:cs="Arial"/>
          <w:color w:val="231F20"/>
          <w:sz w:val="24"/>
          <w:szCs w:val="24"/>
          <w:lang w:eastAsia="da-DK"/>
        </w:rPr>
      </w:pPr>
      <w:r w:rsidRPr="00373B2D">
        <w:rPr>
          <w:rFonts w:eastAsia="Times New Roman" w:cs="Arial"/>
          <w:color w:val="231F20"/>
          <w:sz w:val="24"/>
          <w:szCs w:val="24"/>
          <w:lang w:eastAsia="da-DK"/>
        </w:rPr>
        <w:t>Sagsøgerne anfører at raceadskilte offentlige skoler ikke er “lige” og ikke kan gøres “lige”, og at de dermed er frataget lige beskyttelse under loven (…)</w:t>
      </w:r>
    </w:p>
    <w:p w14:paraId="7A764C05" w14:textId="77777777" w:rsidR="00373B2D" w:rsidRPr="00373B2D" w:rsidRDefault="00373B2D" w:rsidP="002A195C">
      <w:pPr>
        <w:spacing w:before="100" w:beforeAutospacing="1" w:after="150" w:line="360" w:lineRule="auto"/>
        <w:jc w:val="both"/>
        <w:rPr>
          <w:rFonts w:eastAsia="Times New Roman" w:cs="Arial"/>
          <w:color w:val="231F20"/>
          <w:sz w:val="24"/>
          <w:szCs w:val="24"/>
          <w:lang w:eastAsia="da-DK"/>
        </w:rPr>
      </w:pPr>
      <w:r w:rsidRPr="00373B2D">
        <w:rPr>
          <w:rFonts w:eastAsia="Times New Roman" w:cs="Arial"/>
          <w:color w:val="231F20"/>
          <w:sz w:val="24"/>
          <w:szCs w:val="24"/>
          <w:lang w:eastAsia="da-DK"/>
        </w:rPr>
        <w:t>Vi må i stedet se på selve effekten af raceadskillelse på den offentlige uddannelse. Gør vi det, kan vi ikke skrue tiden tilbage til 1868 da 14.</w:t>
      </w:r>
      <w:r>
        <w:rPr>
          <w:rFonts w:eastAsia="Times New Roman" w:cs="Arial"/>
          <w:color w:val="231F20"/>
          <w:sz w:val="24"/>
          <w:szCs w:val="24"/>
          <w:lang w:eastAsia="da-DK"/>
        </w:rPr>
        <w:t xml:space="preserve"> f</w:t>
      </w:r>
      <w:r w:rsidRPr="00373B2D">
        <w:rPr>
          <w:rFonts w:eastAsia="Times New Roman" w:cs="Arial"/>
          <w:color w:val="231F20"/>
          <w:sz w:val="24"/>
          <w:szCs w:val="24"/>
          <w:lang w:eastAsia="da-DK"/>
        </w:rPr>
        <w:t xml:space="preserve">orfatningstillæg blev vedtaget, og heller ikke til 1896 da </w:t>
      </w:r>
      <w:proofErr w:type="spellStart"/>
      <w:r w:rsidRPr="00373B2D">
        <w:rPr>
          <w:rFonts w:eastAsia="Times New Roman" w:cs="Arial"/>
          <w:color w:val="231F20"/>
          <w:sz w:val="24"/>
          <w:szCs w:val="24"/>
          <w:lang w:eastAsia="da-DK"/>
        </w:rPr>
        <w:t>Plessy</w:t>
      </w:r>
      <w:proofErr w:type="spellEnd"/>
      <w:r w:rsidRPr="00373B2D">
        <w:rPr>
          <w:rFonts w:eastAsia="Times New Roman" w:cs="Arial"/>
          <w:color w:val="231F20"/>
          <w:sz w:val="24"/>
          <w:szCs w:val="24"/>
          <w:lang w:eastAsia="da-DK"/>
        </w:rPr>
        <w:t xml:space="preserve"> vs. Ferguson-dommen blev skrevet. Vi må betragte den offentlige uddannelse i lyset af dens udvikling og dens nuværende placering i hele nationens liv. Kun på denne måde kan </w:t>
      </w:r>
      <w:r w:rsidR="00D01B95">
        <w:rPr>
          <w:rFonts w:eastAsia="Times New Roman" w:cs="Arial"/>
          <w:color w:val="231F20"/>
          <w:sz w:val="24"/>
          <w:szCs w:val="24"/>
          <w:lang w:eastAsia="da-DK"/>
        </w:rPr>
        <w:t>det afgøres om raceadskillelse i</w:t>
      </w:r>
      <w:r w:rsidRPr="00373B2D">
        <w:rPr>
          <w:rFonts w:eastAsia="Times New Roman" w:cs="Arial"/>
          <w:color w:val="231F20"/>
          <w:sz w:val="24"/>
          <w:szCs w:val="24"/>
          <w:lang w:eastAsia="da-DK"/>
        </w:rPr>
        <w:t xml:space="preserve"> offentlige skoler berøver sagsøgerne lige beskyttelse under loven. </w:t>
      </w:r>
    </w:p>
    <w:p w14:paraId="274F5367" w14:textId="77777777" w:rsidR="00373B2D" w:rsidRPr="00373B2D" w:rsidRDefault="00373B2D" w:rsidP="002A195C">
      <w:pPr>
        <w:spacing w:before="100" w:beforeAutospacing="1" w:after="150" w:line="360" w:lineRule="auto"/>
        <w:jc w:val="both"/>
        <w:rPr>
          <w:rFonts w:eastAsia="Times New Roman" w:cs="Arial"/>
          <w:color w:val="231F20"/>
          <w:sz w:val="24"/>
          <w:szCs w:val="24"/>
          <w:lang w:eastAsia="da-DK"/>
        </w:rPr>
      </w:pPr>
      <w:r w:rsidRPr="00373B2D">
        <w:rPr>
          <w:rFonts w:eastAsia="Times New Roman" w:cs="Arial"/>
          <w:color w:val="231F20"/>
          <w:sz w:val="24"/>
          <w:szCs w:val="24"/>
          <w:lang w:eastAsia="da-DK"/>
        </w:rPr>
        <w:t>I dag er uddannelse måske delstaternes og de lokale regeringers vigtigste hverv. Både lovene om obligatorisk skolegang og de omfattende udgifter til uddannelse demonstrerer at vi anerkender den betydning uddannelse har for vores demokratiske samfund (…)</w:t>
      </w:r>
    </w:p>
    <w:p w14:paraId="293F6C5D" w14:textId="77777777" w:rsidR="00373B2D" w:rsidRPr="00373B2D" w:rsidRDefault="00373B2D" w:rsidP="002A195C">
      <w:pPr>
        <w:spacing w:before="100" w:beforeAutospacing="1" w:after="150" w:line="360" w:lineRule="auto"/>
        <w:jc w:val="both"/>
        <w:rPr>
          <w:rFonts w:eastAsia="Times New Roman" w:cs="Arial"/>
          <w:color w:val="231F20"/>
          <w:sz w:val="24"/>
          <w:szCs w:val="24"/>
          <w:lang w:eastAsia="da-DK"/>
        </w:rPr>
      </w:pPr>
      <w:r w:rsidRPr="00373B2D">
        <w:rPr>
          <w:rFonts w:eastAsia="Times New Roman" w:cs="Arial"/>
          <w:color w:val="231F20"/>
          <w:sz w:val="24"/>
          <w:szCs w:val="24"/>
          <w:lang w:eastAsia="da-DK"/>
        </w:rPr>
        <w:t>Når delstaten har påtaget sig at sørge for et sådant tilbud, er det en rettighed som må gøres tilgængelig for alle på lige vilkår.</w:t>
      </w:r>
    </w:p>
    <w:p w14:paraId="012CEC61" w14:textId="77777777" w:rsidR="00373B2D" w:rsidRPr="00373B2D" w:rsidRDefault="00373B2D" w:rsidP="002A195C">
      <w:pPr>
        <w:spacing w:before="100" w:beforeAutospacing="1" w:after="150" w:line="360" w:lineRule="auto"/>
        <w:jc w:val="both"/>
        <w:rPr>
          <w:rFonts w:eastAsia="Times New Roman" w:cs="Arial"/>
          <w:color w:val="231F20"/>
          <w:sz w:val="24"/>
          <w:szCs w:val="24"/>
          <w:lang w:eastAsia="da-DK"/>
        </w:rPr>
      </w:pPr>
      <w:r w:rsidRPr="00373B2D">
        <w:rPr>
          <w:rFonts w:eastAsia="Times New Roman" w:cs="Arial"/>
          <w:color w:val="231F20"/>
          <w:sz w:val="24"/>
          <w:szCs w:val="24"/>
          <w:lang w:eastAsia="da-DK"/>
        </w:rPr>
        <w:lastRenderedPageBreak/>
        <w:t>Vi kommer nu til det aktuelle spørgsmål: Hvis der i offentlige skoler adskilles alene på grund af race - selv om de fysiske faciliteter og de andre “håndgribelige” faktorer er lige – bliver mindretallets børn så frataget lige uddannelsesmuligheder? Det mener vi de bliver.</w:t>
      </w:r>
    </w:p>
    <w:p w14:paraId="3374E861" w14:textId="77777777" w:rsidR="00373B2D" w:rsidRPr="00373B2D" w:rsidRDefault="00373B2D" w:rsidP="002A195C">
      <w:pPr>
        <w:spacing w:before="100" w:beforeAutospacing="1" w:after="150" w:line="360" w:lineRule="auto"/>
        <w:jc w:val="both"/>
        <w:rPr>
          <w:rFonts w:eastAsia="Times New Roman" w:cs="Arial"/>
          <w:color w:val="231F20"/>
          <w:sz w:val="24"/>
          <w:szCs w:val="24"/>
          <w:lang w:eastAsia="da-DK"/>
        </w:rPr>
      </w:pPr>
      <w:r w:rsidRPr="00373B2D">
        <w:rPr>
          <w:rFonts w:eastAsia="Times New Roman" w:cs="Arial"/>
          <w:color w:val="231F20"/>
          <w:sz w:val="24"/>
          <w:szCs w:val="24"/>
          <w:lang w:eastAsia="da-DK"/>
        </w:rPr>
        <w:t>(…) Sådanne overvejelser kan med ekstra styrke anvendes når det drejer sig om børn i grundskolen og gymnasiet. At adskille dem fra andre på samme alder og med samme kvalifikationer blot på grund af deres race skaber en følelse af mindreværd vedrørende deres status i samfundet som kan påvirke deres følelser og tankegang på en måde som sandsynligvis aldrig kan ændres. (…)</w:t>
      </w:r>
    </w:p>
    <w:p w14:paraId="2703B259" w14:textId="77777777" w:rsidR="00373B2D" w:rsidRPr="00373B2D" w:rsidRDefault="00373B2D" w:rsidP="002A195C">
      <w:pPr>
        <w:spacing w:before="100" w:beforeAutospacing="1" w:after="150" w:line="360" w:lineRule="auto"/>
        <w:jc w:val="both"/>
        <w:rPr>
          <w:rFonts w:eastAsia="Times New Roman" w:cs="Arial"/>
          <w:color w:val="231F20"/>
          <w:sz w:val="24"/>
          <w:szCs w:val="24"/>
          <w:lang w:eastAsia="da-DK"/>
        </w:rPr>
      </w:pPr>
      <w:r w:rsidRPr="00373B2D">
        <w:rPr>
          <w:rFonts w:eastAsia="Times New Roman" w:cs="Arial"/>
          <w:color w:val="231F20"/>
          <w:sz w:val="24"/>
          <w:szCs w:val="24"/>
          <w:lang w:eastAsia="da-DK"/>
        </w:rPr>
        <w:t>Vi konkluderer at doktrinen “adskilt men lige” ingen plads har inden for offentlig uddannelse. Adskilte uddannelsesfaciliteter er i sagens natur ulige. Derfor anser vi sagsøgerne, og andre i samme situation, som værende berøvet den lige beskyttelse under loven som 14.</w:t>
      </w:r>
      <w:r w:rsidR="002A195C">
        <w:rPr>
          <w:rFonts w:eastAsia="Times New Roman" w:cs="Arial"/>
          <w:color w:val="231F20"/>
          <w:sz w:val="24"/>
          <w:szCs w:val="24"/>
          <w:lang w:eastAsia="da-DK"/>
        </w:rPr>
        <w:t xml:space="preserve"> f</w:t>
      </w:r>
      <w:r w:rsidRPr="00373B2D">
        <w:rPr>
          <w:rFonts w:eastAsia="Times New Roman" w:cs="Arial"/>
          <w:color w:val="231F20"/>
          <w:sz w:val="24"/>
          <w:szCs w:val="24"/>
          <w:lang w:eastAsia="da-DK"/>
        </w:rPr>
        <w:t>orfatningstillæg garanterer, på grund af den raceadskillelse der klages over.(…)</w:t>
      </w:r>
    </w:p>
    <w:p w14:paraId="53DDCEE5" w14:textId="77777777" w:rsidR="009C4D48" w:rsidRDefault="009C4D48" w:rsidP="002A195C">
      <w:pPr>
        <w:spacing w:line="360" w:lineRule="auto"/>
        <w:jc w:val="both"/>
        <w:rPr>
          <w:sz w:val="24"/>
          <w:szCs w:val="24"/>
        </w:rPr>
      </w:pPr>
    </w:p>
    <w:p w14:paraId="7F56FF1E" w14:textId="77777777" w:rsidR="001A43ED" w:rsidRPr="00B77CB8" w:rsidRDefault="001A43ED" w:rsidP="002A195C">
      <w:pPr>
        <w:spacing w:line="360" w:lineRule="auto"/>
        <w:jc w:val="both"/>
        <w:rPr>
          <w:sz w:val="24"/>
          <w:szCs w:val="24"/>
          <w:u w:val="single"/>
        </w:rPr>
      </w:pPr>
      <w:r w:rsidRPr="00B77CB8">
        <w:rPr>
          <w:sz w:val="24"/>
          <w:szCs w:val="24"/>
          <w:u w:val="single"/>
        </w:rPr>
        <w:t>Arbejdsspørgsmål:</w:t>
      </w:r>
    </w:p>
    <w:p w14:paraId="478614D7" w14:textId="77777777" w:rsidR="001A43ED" w:rsidRDefault="001A43ED" w:rsidP="001A43ED">
      <w:pPr>
        <w:pStyle w:val="Listeafsnit"/>
        <w:numPr>
          <w:ilvl w:val="0"/>
          <w:numId w:val="1"/>
        </w:numPr>
        <w:spacing w:line="360" w:lineRule="auto"/>
        <w:jc w:val="both"/>
        <w:rPr>
          <w:sz w:val="24"/>
          <w:szCs w:val="24"/>
        </w:rPr>
      </w:pPr>
      <w:r>
        <w:rPr>
          <w:sz w:val="24"/>
          <w:szCs w:val="24"/>
        </w:rPr>
        <w:t>Hvad er baggrunden for sagen?</w:t>
      </w:r>
    </w:p>
    <w:p w14:paraId="7DDA4827" w14:textId="77777777" w:rsidR="001A43ED" w:rsidRDefault="001A43ED" w:rsidP="001A43ED">
      <w:pPr>
        <w:pStyle w:val="Listeafsnit"/>
        <w:numPr>
          <w:ilvl w:val="0"/>
          <w:numId w:val="1"/>
        </w:numPr>
        <w:spacing w:line="360" w:lineRule="auto"/>
        <w:jc w:val="both"/>
        <w:rPr>
          <w:sz w:val="24"/>
          <w:szCs w:val="24"/>
        </w:rPr>
      </w:pPr>
      <w:r>
        <w:rPr>
          <w:sz w:val="24"/>
          <w:szCs w:val="24"/>
        </w:rPr>
        <w:t>Hvad er sagsøgernes formål med sagen?</w:t>
      </w:r>
    </w:p>
    <w:p w14:paraId="3A0F0E62" w14:textId="77777777" w:rsidR="001A43ED" w:rsidRDefault="001A43ED" w:rsidP="001A43ED">
      <w:pPr>
        <w:pStyle w:val="Listeafsnit"/>
        <w:numPr>
          <w:ilvl w:val="0"/>
          <w:numId w:val="1"/>
        </w:numPr>
        <w:spacing w:line="360" w:lineRule="auto"/>
        <w:jc w:val="both"/>
        <w:rPr>
          <w:sz w:val="24"/>
          <w:szCs w:val="24"/>
        </w:rPr>
      </w:pPr>
      <w:r>
        <w:rPr>
          <w:sz w:val="24"/>
          <w:szCs w:val="24"/>
        </w:rPr>
        <w:t>Hvad er selve dommen?</w:t>
      </w:r>
    </w:p>
    <w:p w14:paraId="6EA79626" w14:textId="77777777" w:rsidR="001A43ED" w:rsidRPr="001A43ED" w:rsidRDefault="001A43ED" w:rsidP="001A43ED">
      <w:pPr>
        <w:pStyle w:val="Listeafsnit"/>
        <w:numPr>
          <w:ilvl w:val="0"/>
          <w:numId w:val="1"/>
        </w:numPr>
        <w:spacing w:line="360" w:lineRule="auto"/>
        <w:jc w:val="both"/>
        <w:rPr>
          <w:sz w:val="24"/>
          <w:szCs w:val="24"/>
        </w:rPr>
      </w:pPr>
      <w:r>
        <w:rPr>
          <w:sz w:val="24"/>
          <w:szCs w:val="24"/>
        </w:rPr>
        <w:t>Hvilke argumenter har dommerne for at dømme, som de gør? Hvilket argument er det vigtigste?</w:t>
      </w:r>
    </w:p>
    <w:sectPr w:rsidR="001A43ED" w:rsidRPr="001A43ED" w:rsidSect="00DC5B3D">
      <w:type w:val="continuous"/>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4B795" w14:textId="77777777" w:rsidR="00BB4FBC" w:rsidRDefault="00BB4FBC" w:rsidP="00373B2D">
      <w:pPr>
        <w:spacing w:after="0" w:line="240" w:lineRule="auto"/>
      </w:pPr>
      <w:r>
        <w:separator/>
      </w:r>
    </w:p>
  </w:endnote>
  <w:endnote w:type="continuationSeparator" w:id="0">
    <w:p w14:paraId="00BBE8DF" w14:textId="77777777" w:rsidR="00BB4FBC" w:rsidRDefault="00BB4FBC" w:rsidP="0037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F9DC3" w14:textId="77777777" w:rsidR="00BB4FBC" w:rsidRDefault="00BB4FBC" w:rsidP="00373B2D">
      <w:pPr>
        <w:spacing w:after="0" w:line="240" w:lineRule="auto"/>
      </w:pPr>
      <w:r>
        <w:separator/>
      </w:r>
    </w:p>
  </w:footnote>
  <w:footnote w:type="continuationSeparator" w:id="0">
    <w:p w14:paraId="49D78748" w14:textId="77777777" w:rsidR="00BB4FBC" w:rsidRDefault="00BB4FBC" w:rsidP="00373B2D">
      <w:pPr>
        <w:spacing w:after="0" w:line="240" w:lineRule="auto"/>
      </w:pPr>
      <w:r>
        <w:continuationSeparator/>
      </w:r>
    </w:p>
  </w:footnote>
  <w:footnote w:id="1">
    <w:p w14:paraId="5EB37543" w14:textId="77777777" w:rsidR="00084F0F" w:rsidRPr="006602C9" w:rsidRDefault="00084F0F">
      <w:pPr>
        <w:pStyle w:val="Fodnotetekst"/>
        <w:rPr>
          <w:rFonts w:cstheme="minorHAnsi"/>
        </w:rPr>
      </w:pPr>
      <w:r>
        <w:rPr>
          <w:rStyle w:val="Fodnotehenvisning"/>
        </w:rPr>
        <w:footnoteRef/>
      </w:r>
      <w:r>
        <w:t xml:space="preserve"> </w:t>
      </w:r>
      <w:r w:rsidRPr="00084F0F">
        <w:t>Blev vedtaget i 1868 og indeholdt ordlyden ”</w:t>
      </w:r>
      <w:r w:rsidRPr="00C2717D">
        <w:rPr>
          <w:b/>
        </w:rPr>
        <w:t>alle</w:t>
      </w:r>
      <w:r w:rsidRPr="00084F0F">
        <w:t xml:space="preserve"> personer, som </w:t>
      </w:r>
      <w:r w:rsidRPr="006602C9">
        <w:t xml:space="preserve">er født eller har fået indfødsret i USA, og som er underlagt dens </w:t>
      </w:r>
      <w:r w:rsidRPr="006602C9">
        <w:rPr>
          <w:rFonts w:cstheme="minorHAnsi"/>
        </w:rPr>
        <w:t xml:space="preserve">domsmyndighed, er </w:t>
      </w:r>
      <w:r w:rsidRPr="00C2717D">
        <w:rPr>
          <w:rFonts w:cstheme="minorHAnsi"/>
          <w:b/>
        </w:rPr>
        <w:t>borgere</w:t>
      </w:r>
      <w:r w:rsidRPr="006602C9">
        <w:rPr>
          <w:rFonts w:cstheme="minorHAnsi"/>
        </w:rPr>
        <w:t xml:space="preserve"> i USA og i den stat, hvori de bor." Dvs. at sorte hermed fik borgerret</w:t>
      </w:r>
      <w:r w:rsidR="00461FD4" w:rsidRPr="006602C9">
        <w:rPr>
          <w:rFonts w:cstheme="minorHAnsi"/>
        </w:rPr>
        <w:t xml:space="preserve"> på lige fod med hvide</w:t>
      </w:r>
      <w:r w:rsidRPr="006602C9">
        <w:rPr>
          <w:rFonts w:cstheme="minorHAnsi"/>
        </w:rPr>
        <w:t>.</w:t>
      </w:r>
    </w:p>
  </w:footnote>
  <w:footnote w:id="2">
    <w:p w14:paraId="25A670A5" w14:textId="77777777" w:rsidR="006602C9" w:rsidRDefault="006602C9">
      <w:pPr>
        <w:pStyle w:val="Fodnotetekst"/>
      </w:pPr>
      <w:r w:rsidRPr="006602C9">
        <w:rPr>
          <w:rStyle w:val="Fodnotehenvisning"/>
          <w:rFonts w:cstheme="minorHAnsi"/>
        </w:rPr>
        <w:footnoteRef/>
      </w:r>
      <w:r w:rsidRPr="006602C9">
        <w:rPr>
          <w:rFonts w:cstheme="minorHAnsi"/>
        </w:rPr>
        <w:t xml:space="preserve"> doktrin = </w:t>
      </w:r>
      <w:r w:rsidRPr="006602C9">
        <w:rPr>
          <w:rStyle w:val="definition1"/>
          <w:rFonts w:cstheme="minorHAnsi"/>
          <w:sz w:val="20"/>
          <w:szCs w:val="20"/>
        </w:rPr>
        <w:t>(grundlæggende) teori, lære eller programerklæring der inden for et bestemt område, især politik eller militær, ligger til grund for hvordan nogen bør handle eller noget bør være</w:t>
      </w:r>
      <w:r>
        <w:rPr>
          <w:rStyle w:val="definition1"/>
          <w:rFonts w:cstheme="minorHAnsi"/>
          <w:sz w:val="20"/>
          <w:szCs w:val="20"/>
        </w:rPr>
        <w:t>. Læresætning. Dogme.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EDF81" w14:textId="43DE1639" w:rsidR="00373B2D" w:rsidRDefault="007E0933">
    <w:pPr>
      <w:pStyle w:val="Sidehoved"/>
    </w:pPr>
    <w:r>
      <w:t>23c</w:t>
    </w:r>
    <w:r w:rsidR="00373B2D">
      <w:t xml:space="preserve"> HI</w:t>
    </w:r>
    <w:r w:rsidR="00373B2D">
      <w:ptab w:relativeTo="margin" w:alignment="center" w:leader="none"/>
    </w:r>
    <w:r w:rsidR="00373B2D">
      <w:t>Slaveri og racediskrimination</w:t>
    </w:r>
    <w:r>
      <w:t xml:space="preserve"> i USA</w:t>
    </w:r>
    <w:r w:rsidR="00373B2D">
      <w:ptab w:relativeTo="margin" w:alignment="right" w:leader="none"/>
    </w:r>
    <w:r>
      <w:t>4. 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15016D"/>
    <w:multiLevelType w:val="hybridMultilevel"/>
    <w:tmpl w:val="DE0C01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2569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B2D"/>
    <w:rsid w:val="00084F0F"/>
    <w:rsid w:val="001A43ED"/>
    <w:rsid w:val="002A195C"/>
    <w:rsid w:val="00373B2D"/>
    <w:rsid w:val="00452521"/>
    <w:rsid w:val="00461FD4"/>
    <w:rsid w:val="00496A95"/>
    <w:rsid w:val="004A0124"/>
    <w:rsid w:val="004A1051"/>
    <w:rsid w:val="0055506B"/>
    <w:rsid w:val="005811FC"/>
    <w:rsid w:val="00581F5D"/>
    <w:rsid w:val="006602C9"/>
    <w:rsid w:val="00775C93"/>
    <w:rsid w:val="00782D5D"/>
    <w:rsid w:val="007E0933"/>
    <w:rsid w:val="00897AAA"/>
    <w:rsid w:val="009B2403"/>
    <w:rsid w:val="009B455D"/>
    <w:rsid w:val="009C4D48"/>
    <w:rsid w:val="00AE3B8D"/>
    <w:rsid w:val="00B77CB8"/>
    <w:rsid w:val="00BB4FBC"/>
    <w:rsid w:val="00C2717D"/>
    <w:rsid w:val="00D01B95"/>
    <w:rsid w:val="00DC5B3D"/>
    <w:rsid w:val="00ED3E4D"/>
    <w:rsid w:val="00F11463"/>
    <w:rsid w:val="00F36635"/>
    <w:rsid w:val="00FF1ADB"/>
    <w:rsid w:val="00FF5B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14AD"/>
  <w15:docId w15:val="{F75DB3A1-0766-4BCF-9A7E-E8F6CA8F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link w:val="Overskrift4Tegn"/>
    <w:uiPriority w:val="9"/>
    <w:qFormat/>
    <w:rsid w:val="00373B2D"/>
    <w:pPr>
      <w:spacing w:after="0" w:line="300" w:lineRule="atLeast"/>
      <w:outlineLvl w:val="3"/>
    </w:pPr>
    <w:rPr>
      <w:rFonts w:ascii="Times New Roman" w:eastAsia="Times New Roman" w:hAnsi="Times New Roman" w:cs="Times New Roman"/>
      <w:color w:val="231F20"/>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
    <w:rsid w:val="00373B2D"/>
    <w:rPr>
      <w:rFonts w:ascii="Times New Roman" w:eastAsia="Times New Roman" w:hAnsi="Times New Roman" w:cs="Times New Roman"/>
      <w:color w:val="231F20"/>
      <w:sz w:val="24"/>
      <w:szCs w:val="24"/>
      <w:lang w:eastAsia="da-DK"/>
    </w:rPr>
  </w:style>
  <w:style w:type="paragraph" w:customStyle="1" w:styleId="bodytext">
    <w:name w:val="bodytext"/>
    <w:basedOn w:val="Normal"/>
    <w:rsid w:val="00373B2D"/>
    <w:pPr>
      <w:spacing w:before="100" w:beforeAutospacing="1" w:after="150" w:line="300" w:lineRule="atLeast"/>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373B2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73B2D"/>
  </w:style>
  <w:style w:type="paragraph" w:styleId="Sidefod">
    <w:name w:val="footer"/>
    <w:basedOn w:val="Normal"/>
    <w:link w:val="SidefodTegn"/>
    <w:uiPriority w:val="99"/>
    <w:unhideWhenUsed/>
    <w:rsid w:val="00373B2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73B2D"/>
  </w:style>
  <w:style w:type="paragraph" w:styleId="Markeringsbobletekst">
    <w:name w:val="Balloon Text"/>
    <w:basedOn w:val="Normal"/>
    <w:link w:val="MarkeringsbobletekstTegn"/>
    <w:uiPriority w:val="99"/>
    <w:semiHidden/>
    <w:unhideWhenUsed/>
    <w:rsid w:val="00373B2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73B2D"/>
    <w:rPr>
      <w:rFonts w:ascii="Tahoma" w:hAnsi="Tahoma" w:cs="Tahoma"/>
      <w:sz w:val="16"/>
      <w:szCs w:val="16"/>
    </w:rPr>
  </w:style>
  <w:style w:type="character" w:styleId="Linjenummer">
    <w:name w:val="line number"/>
    <w:basedOn w:val="Standardskrifttypeiafsnit"/>
    <w:uiPriority w:val="99"/>
    <w:semiHidden/>
    <w:unhideWhenUsed/>
    <w:rsid w:val="002A195C"/>
  </w:style>
  <w:style w:type="paragraph" w:styleId="Fodnotetekst">
    <w:name w:val="footnote text"/>
    <w:basedOn w:val="Normal"/>
    <w:link w:val="FodnotetekstTegn"/>
    <w:uiPriority w:val="99"/>
    <w:semiHidden/>
    <w:unhideWhenUsed/>
    <w:rsid w:val="00084F0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84F0F"/>
    <w:rPr>
      <w:sz w:val="20"/>
      <w:szCs w:val="20"/>
    </w:rPr>
  </w:style>
  <w:style w:type="character" w:styleId="Fodnotehenvisning">
    <w:name w:val="footnote reference"/>
    <w:basedOn w:val="Standardskrifttypeiafsnit"/>
    <w:uiPriority w:val="99"/>
    <w:semiHidden/>
    <w:unhideWhenUsed/>
    <w:rsid w:val="00084F0F"/>
    <w:rPr>
      <w:vertAlign w:val="superscript"/>
    </w:rPr>
  </w:style>
  <w:style w:type="character" w:customStyle="1" w:styleId="definition1">
    <w:name w:val="definition1"/>
    <w:basedOn w:val="Standardskrifttypeiafsnit"/>
    <w:rsid w:val="006602C9"/>
    <w:rPr>
      <w:sz w:val="26"/>
      <w:szCs w:val="26"/>
    </w:rPr>
  </w:style>
  <w:style w:type="paragraph" w:styleId="Listeafsnit">
    <w:name w:val="List Paragraph"/>
    <w:basedOn w:val="Normal"/>
    <w:uiPriority w:val="34"/>
    <w:qFormat/>
    <w:rsid w:val="001A4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336666">
      <w:bodyDiv w:val="1"/>
      <w:marLeft w:val="0"/>
      <w:marRight w:val="0"/>
      <w:marTop w:val="0"/>
      <w:marBottom w:val="0"/>
      <w:divBdr>
        <w:top w:val="none" w:sz="0" w:space="0" w:color="auto"/>
        <w:left w:val="none" w:sz="0" w:space="0" w:color="auto"/>
        <w:bottom w:val="none" w:sz="0" w:space="0" w:color="auto"/>
        <w:right w:val="none" w:sz="0" w:space="0" w:color="auto"/>
      </w:divBdr>
      <w:divsChild>
        <w:div w:id="1627464032">
          <w:marLeft w:val="0"/>
          <w:marRight w:val="0"/>
          <w:marTop w:val="0"/>
          <w:marBottom w:val="150"/>
          <w:divBdr>
            <w:top w:val="none" w:sz="0" w:space="0" w:color="auto"/>
            <w:left w:val="none" w:sz="0" w:space="0" w:color="auto"/>
            <w:bottom w:val="none" w:sz="0" w:space="0" w:color="auto"/>
            <w:right w:val="none" w:sz="0" w:space="0" w:color="auto"/>
          </w:divBdr>
          <w:divsChild>
            <w:div w:id="1253928019">
              <w:marLeft w:val="0"/>
              <w:marRight w:val="0"/>
              <w:marTop w:val="0"/>
              <w:marBottom w:val="0"/>
              <w:divBdr>
                <w:top w:val="none" w:sz="0" w:space="0" w:color="auto"/>
                <w:left w:val="none" w:sz="0" w:space="0" w:color="auto"/>
                <w:bottom w:val="none" w:sz="0" w:space="0" w:color="auto"/>
                <w:right w:val="none" w:sz="0" w:space="0" w:color="auto"/>
              </w:divBdr>
              <w:divsChild>
                <w:div w:id="278991361">
                  <w:marLeft w:val="0"/>
                  <w:marRight w:val="0"/>
                  <w:marTop w:val="0"/>
                  <w:marBottom w:val="0"/>
                  <w:divBdr>
                    <w:top w:val="none" w:sz="0" w:space="0" w:color="auto"/>
                    <w:left w:val="none" w:sz="0" w:space="0" w:color="auto"/>
                    <w:bottom w:val="none" w:sz="0" w:space="0" w:color="auto"/>
                    <w:right w:val="none" w:sz="0" w:space="0" w:color="auto"/>
                  </w:divBdr>
                  <w:divsChild>
                    <w:div w:id="19965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9AB5-9A98-4A92-B9E4-0399B68A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453</Words>
  <Characters>2764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Annegrete</dc:creator>
  <cp:lastModifiedBy>Annegrete Mogensen</cp:lastModifiedBy>
  <cp:revision>17</cp:revision>
  <cp:lastPrinted>2017-03-24T08:35:00Z</cp:lastPrinted>
  <dcterms:created xsi:type="dcterms:W3CDTF">2016-04-19T14:41:00Z</dcterms:created>
  <dcterms:modified xsi:type="dcterms:W3CDTF">2024-12-04T08:28:00Z</dcterms:modified>
</cp:coreProperties>
</file>