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5742" w14:textId="77777777" w:rsidR="00C5190B" w:rsidRDefault="00C5190B" w:rsidP="00C5190B">
      <w:pPr>
        <w:pStyle w:val="Listeafsnit"/>
        <w:numPr>
          <w:ilvl w:val="1"/>
          <w:numId w:val="1"/>
        </w:numPr>
        <w:rPr>
          <w:color w:val="0070C0"/>
        </w:rPr>
      </w:pPr>
      <w:r>
        <w:rPr>
          <w:color w:val="0070C0"/>
        </w:rPr>
        <w:t xml:space="preserve">Fremmedhed: er både noget indre og ydre. Det handler om ikke at være i overensstemmelse med sine omgivelser, så man føler sig anderledes og dermed fremmed i sit eget liv. </w:t>
      </w:r>
    </w:p>
    <w:p w14:paraId="593D25CA" w14:textId="77777777" w:rsidR="00C5190B" w:rsidRDefault="00C5190B" w:rsidP="00C5190B">
      <w:pPr>
        <w:pStyle w:val="Listeafsnit"/>
        <w:numPr>
          <w:ilvl w:val="2"/>
          <w:numId w:val="1"/>
        </w:numPr>
        <w:rPr>
          <w:color w:val="0070C0"/>
        </w:rPr>
      </w:pPr>
      <w:r>
        <w:rPr>
          <w:color w:val="0070C0"/>
        </w:rPr>
        <w:t xml:space="preserve">Man kan også helt konkret føle sig fremmed på det sted, hvor man er, fordi man ikke er det landskab, hvor man er vokset op. </w:t>
      </w:r>
    </w:p>
    <w:p w14:paraId="19DF93AC" w14:textId="77777777" w:rsidR="00C5190B" w:rsidRDefault="00C5190B" w:rsidP="00C5190B">
      <w:pPr>
        <w:pStyle w:val="Listeafsnit"/>
        <w:numPr>
          <w:ilvl w:val="2"/>
          <w:numId w:val="1"/>
        </w:numPr>
        <w:rPr>
          <w:color w:val="0070C0"/>
        </w:rPr>
      </w:pPr>
      <w:r>
        <w:rPr>
          <w:color w:val="0070C0"/>
        </w:rPr>
        <w:t xml:space="preserve">Fortælleren i ”Sildig opvågnen” er fremmed for sig selv, fordi han oplever en drift hos sig selv, som han ikke vil vedkende sig. </w:t>
      </w:r>
    </w:p>
    <w:p w14:paraId="3130E66E" w14:textId="77777777" w:rsidR="00C5190B" w:rsidRDefault="00C5190B" w:rsidP="00C5190B">
      <w:pPr>
        <w:pStyle w:val="Listeafsnit"/>
        <w:numPr>
          <w:ilvl w:val="3"/>
          <w:numId w:val="1"/>
        </w:numPr>
        <w:rPr>
          <w:color w:val="0070C0"/>
        </w:rPr>
      </w:pPr>
      <w:r>
        <w:rPr>
          <w:color w:val="0070C0"/>
        </w:rPr>
        <w:t xml:space="preserve">F.eks. profession og hans egne tanke om sig selv, stemmer ikke overens med hans drifter efter Elise. </w:t>
      </w:r>
    </w:p>
    <w:p w14:paraId="3C04E599" w14:textId="77777777" w:rsidR="00C5190B" w:rsidRDefault="00C5190B" w:rsidP="00C5190B">
      <w:pPr>
        <w:pStyle w:val="Listeafsnit"/>
        <w:numPr>
          <w:ilvl w:val="1"/>
          <w:numId w:val="1"/>
        </w:numPr>
        <w:rPr>
          <w:color w:val="0070C0"/>
        </w:rPr>
      </w:pPr>
      <w:r>
        <w:rPr>
          <w:color w:val="0070C0"/>
        </w:rPr>
        <w:t xml:space="preserve">Det kvindelige oprør: Dette tema handler om at lade kvinden hævde sin individualitet på tværs af de normer, som hører konventionen til. Kort sagt: Blichers kvinder gør i stor udstrækning det, de vil, selv om normerne i samfundet ønsker noget andet. </w:t>
      </w:r>
    </w:p>
    <w:p w14:paraId="22E8FE0B" w14:textId="77777777" w:rsidR="00C5190B" w:rsidRDefault="00C5190B" w:rsidP="00C5190B">
      <w:pPr>
        <w:pStyle w:val="Listeafsnit"/>
        <w:numPr>
          <w:ilvl w:val="2"/>
          <w:numId w:val="1"/>
        </w:numPr>
        <w:rPr>
          <w:color w:val="0070C0"/>
        </w:rPr>
      </w:pPr>
      <w:r>
        <w:rPr>
          <w:color w:val="0070C0"/>
        </w:rPr>
        <w:t xml:space="preserve">I Blichers samtid var kvinden mandens ejendom, og idealet var, at hun fremstod blid og føjelig [medgørlig]. Når Blicher lader sine kvindelige skikkelser være initiativrige, så svarer det til at lukke en ræv en i hønsegården: Pludselig sker der en masse, og man ser nye sider af mennesket. </w:t>
      </w:r>
    </w:p>
    <w:p w14:paraId="5F66AF35" w14:textId="77777777" w:rsidR="00C5190B" w:rsidRDefault="00C5190B" w:rsidP="00C5190B">
      <w:pPr>
        <w:pStyle w:val="Listeafsnit"/>
        <w:numPr>
          <w:ilvl w:val="2"/>
          <w:numId w:val="1"/>
        </w:numPr>
        <w:rPr>
          <w:color w:val="0070C0"/>
        </w:rPr>
      </w:pPr>
      <w:r>
        <w:rPr>
          <w:color w:val="0070C0"/>
        </w:rPr>
        <w:t xml:space="preserve">Målet for Blicher var netop at skrive om det psykologisk komplekse menneske. Det centrale er individets behov set i lyset af samfundets normer. </w:t>
      </w:r>
    </w:p>
    <w:p w14:paraId="015C5B79" w14:textId="77777777" w:rsidR="00C5190B" w:rsidRDefault="00C5190B" w:rsidP="00C5190B">
      <w:pPr>
        <w:pStyle w:val="Listeafsnit"/>
        <w:numPr>
          <w:ilvl w:val="2"/>
          <w:numId w:val="1"/>
        </w:numPr>
        <w:rPr>
          <w:color w:val="0070C0"/>
        </w:rPr>
      </w:pPr>
      <w:r>
        <w:rPr>
          <w:color w:val="0070C0"/>
        </w:rPr>
        <w:t xml:space="preserve">Blicher er interesseret i kvinderne som mennesker, og ikke nødvendigvis interesseret i at fælde en moralsk dom over dem. </w:t>
      </w:r>
    </w:p>
    <w:p w14:paraId="4F2DF4EB" w14:textId="77777777" w:rsidR="00C5190B" w:rsidRDefault="00C5190B" w:rsidP="00C5190B">
      <w:pPr>
        <w:pStyle w:val="Listeafsnit"/>
        <w:numPr>
          <w:ilvl w:val="2"/>
          <w:numId w:val="1"/>
        </w:numPr>
        <w:rPr>
          <w:color w:val="0070C0"/>
        </w:rPr>
      </w:pPr>
      <w:r>
        <w:rPr>
          <w:color w:val="0070C0"/>
        </w:rPr>
        <w:t>I ”Sildig opvågnen” er Elise, kvinden, der tager initiativer, fordi der er noget, hun vil opnå, nemlig den ægte kærlighed [læsning ud fra Elises breve].</w:t>
      </w:r>
    </w:p>
    <w:p w14:paraId="3119AB8C" w14:textId="77777777" w:rsidR="00C5190B" w:rsidRDefault="00C5190B" w:rsidP="00C5190B">
      <w:pPr>
        <w:pStyle w:val="Listeafsnit"/>
        <w:ind w:left="2160"/>
        <w:rPr>
          <w:color w:val="0070C0"/>
        </w:rPr>
      </w:pPr>
    </w:p>
    <w:p w14:paraId="40D6E670" w14:textId="77777777" w:rsidR="00C5190B" w:rsidRDefault="00C5190B" w:rsidP="00C5190B">
      <w:pPr>
        <w:pStyle w:val="Listeafsnit"/>
        <w:numPr>
          <w:ilvl w:val="1"/>
          <w:numId w:val="1"/>
        </w:numPr>
        <w:rPr>
          <w:color w:val="0070C0"/>
        </w:rPr>
      </w:pPr>
      <w:r>
        <w:rPr>
          <w:color w:val="0070C0"/>
        </w:rPr>
        <w:t>Den erotiske trekant:</w:t>
      </w:r>
    </w:p>
    <w:p w14:paraId="0F532298" w14:textId="77777777" w:rsidR="00C5190B" w:rsidRDefault="00C5190B" w:rsidP="00C5190B">
      <w:pPr>
        <w:pStyle w:val="Listeafsnit"/>
        <w:numPr>
          <w:ilvl w:val="2"/>
          <w:numId w:val="1"/>
        </w:numPr>
        <w:rPr>
          <w:color w:val="0070C0"/>
        </w:rPr>
      </w:pPr>
      <w:r>
        <w:rPr>
          <w:color w:val="0070C0"/>
        </w:rPr>
        <w:t>Det kvindelige oprør i Blichers noveller medfører ofte trekantsforhold, og trekantsforhold er godt til at illustrere fremmedhedstemaet: En uligevægt bliver synlig. Det ideelle parforhold trues, når en tredje part viser sig.</w:t>
      </w:r>
    </w:p>
    <w:p w14:paraId="0362D4C6" w14:textId="77777777" w:rsidR="00C5190B" w:rsidRDefault="00C5190B" w:rsidP="00C5190B">
      <w:pPr>
        <w:pStyle w:val="Listeafsnit"/>
        <w:numPr>
          <w:ilvl w:val="2"/>
          <w:numId w:val="1"/>
        </w:numPr>
        <w:rPr>
          <w:color w:val="0070C0"/>
        </w:rPr>
      </w:pPr>
      <w:r>
        <w:rPr>
          <w:color w:val="0070C0"/>
        </w:rPr>
        <w:t>I ”Sildig opvågnen” moraliseres der ikke over trekantsforholdene for målet er et andet. Nemlig at vise et menneskes fremmedhed og miljøets kvælende virkning. – Elise skal undertrykke sine følelser i dette samfund, da det er uacceptabelt ikke at være føjelig og dermed være sin mand tro.</w:t>
      </w:r>
    </w:p>
    <w:p w14:paraId="01896236" w14:textId="77777777" w:rsidR="00C5190B" w:rsidRPr="004175CC" w:rsidRDefault="00C5190B" w:rsidP="00C5190B">
      <w:pPr>
        <w:pStyle w:val="Listeafsnit"/>
        <w:numPr>
          <w:ilvl w:val="1"/>
          <w:numId w:val="1"/>
        </w:numPr>
        <w:rPr>
          <w:color w:val="0070C0"/>
        </w:rPr>
      </w:pPr>
      <w:r>
        <w:rPr>
          <w:color w:val="0070C0"/>
        </w:rPr>
        <w:t>AK! Hvor forandret:</w:t>
      </w:r>
    </w:p>
    <w:p w14:paraId="0E896087" w14:textId="77777777" w:rsidR="00C5190B" w:rsidRDefault="00C5190B" w:rsidP="00C5190B">
      <w:pPr>
        <w:pStyle w:val="Listeafsnit"/>
        <w:numPr>
          <w:ilvl w:val="2"/>
          <w:numId w:val="1"/>
        </w:numPr>
        <w:rPr>
          <w:color w:val="0070C0"/>
        </w:rPr>
      </w:pPr>
      <w:r>
        <w:rPr>
          <w:color w:val="0070C0"/>
        </w:rPr>
        <w:t xml:space="preserve">Fokusset er at beskrive forfaldet som menneskets vilkår. Vi er som mennesker underlagt det faktum, at tiden går. At vi gennemgår et fysisk forfald, som vi bliver ældre, er for Blicher et eksistentielt grundvilkår. </w:t>
      </w:r>
    </w:p>
    <w:p w14:paraId="4748C348" w14:textId="77777777" w:rsidR="00C5190B" w:rsidRDefault="00C5190B" w:rsidP="00C5190B">
      <w:pPr>
        <w:pStyle w:val="Listeafsnit"/>
        <w:numPr>
          <w:ilvl w:val="2"/>
          <w:numId w:val="1"/>
        </w:numPr>
        <w:rPr>
          <w:color w:val="0070C0"/>
        </w:rPr>
      </w:pPr>
      <w:r>
        <w:rPr>
          <w:color w:val="0070C0"/>
        </w:rPr>
        <w:t>Ak! Hvor forandret! -temaet er derfor ikke et tema på samme måde som de tre andre, da det nærmere er et syn på livet end en konflikt mellem to dikotomier.</w:t>
      </w:r>
    </w:p>
    <w:p w14:paraId="4D7874E3" w14:textId="77777777" w:rsidR="00C5190B" w:rsidRDefault="00C5190B" w:rsidP="00C5190B">
      <w:pPr>
        <w:pStyle w:val="Listeafsnit"/>
        <w:numPr>
          <w:ilvl w:val="2"/>
          <w:numId w:val="1"/>
        </w:numPr>
        <w:rPr>
          <w:color w:val="0070C0"/>
        </w:rPr>
      </w:pPr>
      <w:proofErr w:type="gramStart"/>
      <w:r>
        <w:rPr>
          <w:color w:val="0070C0"/>
        </w:rPr>
        <w:t>Det særligt blicherske</w:t>
      </w:r>
      <w:proofErr w:type="gramEnd"/>
      <w:r>
        <w:rPr>
          <w:color w:val="0070C0"/>
        </w:rPr>
        <w:t xml:space="preserve"> ved temaet er den fremtrædelsesform, det får i hans noveller.</w:t>
      </w:r>
    </w:p>
    <w:p w14:paraId="212914D0" w14:textId="77777777" w:rsidR="00C5190B" w:rsidRDefault="00C5190B" w:rsidP="00C5190B">
      <w:pPr>
        <w:pStyle w:val="Listeafsnit"/>
        <w:numPr>
          <w:ilvl w:val="2"/>
          <w:numId w:val="1"/>
        </w:numPr>
        <w:rPr>
          <w:color w:val="0070C0"/>
        </w:rPr>
      </w:pPr>
      <w:r>
        <w:rPr>
          <w:color w:val="0070C0"/>
        </w:rPr>
        <w:t xml:space="preserve">Forfaldet må jo ikke alene have sin tid, det må også være temmelig lang tid, før det for alvor bliver synligt. Derfor er det også karakteristisk for Blichers noveller, at den fortalte tid, dvs. den samlede tid, som begivenhederne strækker sig over, er lang. Det tydeliggør konfrontationen mellem dengang og nu, og personernes forfald er åbenlyst – og katastrofalt. </w:t>
      </w:r>
    </w:p>
    <w:p w14:paraId="7E6FAE1C" w14:textId="77777777" w:rsidR="009F1267" w:rsidRDefault="009F1267"/>
    <w:sectPr w:rsidR="009F12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DF8"/>
    <w:multiLevelType w:val="hybridMultilevel"/>
    <w:tmpl w:val="23FA8050"/>
    <w:lvl w:ilvl="0" w:tplc="76C6EACC">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1072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0B"/>
    <w:rsid w:val="009F1267"/>
    <w:rsid w:val="00C519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BAC8"/>
  <w15:chartTrackingRefBased/>
  <w15:docId w15:val="{E76EC635-26D3-4D26-9F7D-FB9EE0B5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1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1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190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190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190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190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190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190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190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5190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5190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5190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5190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5190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5190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5190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5190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5190B"/>
    <w:rPr>
      <w:rFonts w:eastAsiaTheme="majorEastAsia" w:cstheme="majorBidi"/>
      <w:color w:val="272727" w:themeColor="text1" w:themeTint="D8"/>
    </w:rPr>
  </w:style>
  <w:style w:type="paragraph" w:styleId="Titel">
    <w:name w:val="Title"/>
    <w:basedOn w:val="Normal"/>
    <w:next w:val="Normal"/>
    <w:link w:val="TitelTegn"/>
    <w:uiPriority w:val="10"/>
    <w:qFormat/>
    <w:rsid w:val="00C51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5190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5190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5190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5190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5190B"/>
    <w:rPr>
      <w:i/>
      <w:iCs/>
      <w:color w:val="404040" w:themeColor="text1" w:themeTint="BF"/>
    </w:rPr>
  </w:style>
  <w:style w:type="paragraph" w:styleId="Listeafsnit">
    <w:name w:val="List Paragraph"/>
    <w:basedOn w:val="Normal"/>
    <w:uiPriority w:val="34"/>
    <w:qFormat/>
    <w:rsid w:val="00C5190B"/>
    <w:pPr>
      <w:ind w:left="720"/>
      <w:contextualSpacing/>
    </w:pPr>
  </w:style>
  <w:style w:type="character" w:styleId="Kraftigfremhvning">
    <w:name w:val="Intense Emphasis"/>
    <w:basedOn w:val="Standardskrifttypeiafsnit"/>
    <w:uiPriority w:val="21"/>
    <w:qFormat/>
    <w:rsid w:val="00C5190B"/>
    <w:rPr>
      <w:i/>
      <w:iCs/>
      <w:color w:val="0F4761" w:themeColor="accent1" w:themeShade="BF"/>
    </w:rPr>
  </w:style>
  <w:style w:type="paragraph" w:styleId="Strktcitat">
    <w:name w:val="Intense Quote"/>
    <w:basedOn w:val="Normal"/>
    <w:next w:val="Normal"/>
    <w:link w:val="StrktcitatTegn"/>
    <w:uiPriority w:val="30"/>
    <w:qFormat/>
    <w:rsid w:val="00C51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5190B"/>
    <w:rPr>
      <w:i/>
      <w:iCs/>
      <w:color w:val="0F4761" w:themeColor="accent1" w:themeShade="BF"/>
    </w:rPr>
  </w:style>
  <w:style w:type="character" w:styleId="Kraftighenvisning">
    <w:name w:val="Intense Reference"/>
    <w:basedOn w:val="Standardskrifttypeiafsnit"/>
    <w:uiPriority w:val="32"/>
    <w:qFormat/>
    <w:rsid w:val="00C519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2462</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1</cp:revision>
  <dcterms:created xsi:type="dcterms:W3CDTF">2024-03-01T09:44:00Z</dcterms:created>
  <dcterms:modified xsi:type="dcterms:W3CDTF">2024-03-01T09:49:00Z</dcterms:modified>
</cp:coreProperties>
</file>