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7CBF" w:rsidRPr="0011136D" w:rsidRDefault="00B77CBF" w:rsidP="00B77CBF">
      <w:pPr>
        <w:pStyle w:val="Overskrift1"/>
      </w:pPr>
      <w:bookmarkStart w:id="0" w:name="_Toc37577148"/>
      <w:bookmarkStart w:id="1" w:name="_GoBack"/>
      <w:bookmarkEnd w:id="1"/>
      <w:r w:rsidRPr="0011136D">
        <w:t>Den debatterende artikel</w:t>
      </w:r>
      <w:bookmarkEnd w:id="0"/>
    </w:p>
    <w:p w:rsidR="00B77CBF" w:rsidRPr="00327643" w:rsidRDefault="00B77CBF" w:rsidP="00B77CBF">
      <w:pPr>
        <w:pStyle w:val="Overskrift2"/>
      </w:pPr>
      <w:bookmarkStart w:id="2" w:name="_Toc16507684"/>
      <w:bookmarkStart w:id="3" w:name="_Toc37577149"/>
      <w:r w:rsidRPr="00327643">
        <w:t>Hvad skal eleverne kunne, når de skriver en debatterende artikel?</w:t>
      </w:r>
      <w:bookmarkEnd w:id="2"/>
      <w:bookmarkEnd w:id="3"/>
    </w:p>
    <w:p w:rsidR="00B77CBF" w:rsidRPr="0011136D" w:rsidRDefault="00B77CBF" w:rsidP="00B77CBF">
      <w:pPr>
        <w:pStyle w:val="Listeafsnit"/>
        <w:numPr>
          <w:ilvl w:val="0"/>
          <w:numId w:val="1"/>
        </w:numPr>
        <w:spacing w:line="276" w:lineRule="auto"/>
        <w:rPr>
          <w:rFonts w:ascii="Garamond" w:hAnsi="Garamond"/>
          <w:sz w:val="24"/>
          <w:szCs w:val="24"/>
        </w:rPr>
      </w:pPr>
      <w:r w:rsidRPr="0011136D">
        <w:rPr>
          <w:rFonts w:ascii="Garamond" w:hAnsi="Garamond"/>
          <w:sz w:val="24"/>
          <w:szCs w:val="24"/>
        </w:rPr>
        <w:t>Læse de centrale synspunkter ud af teksten/teksterne og dels formidle dem klart, dels bruge dem som led i deres argumentation</w:t>
      </w:r>
    </w:p>
    <w:p w:rsidR="00B77CBF" w:rsidRPr="0011136D" w:rsidRDefault="00B77CBF" w:rsidP="00B77CBF">
      <w:pPr>
        <w:pStyle w:val="Listeafsnit"/>
        <w:numPr>
          <w:ilvl w:val="0"/>
          <w:numId w:val="1"/>
        </w:numPr>
        <w:spacing w:line="276" w:lineRule="auto"/>
        <w:rPr>
          <w:rFonts w:ascii="Garamond" w:hAnsi="Garamond"/>
          <w:sz w:val="24"/>
          <w:szCs w:val="24"/>
        </w:rPr>
      </w:pPr>
      <w:r w:rsidRPr="0011136D">
        <w:rPr>
          <w:rFonts w:ascii="Garamond" w:hAnsi="Garamond"/>
          <w:sz w:val="24"/>
          <w:szCs w:val="24"/>
        </w:rPr>
        <w:t>Formulere med- og modsynspunkter (</w:t>
      </w:r>
      <w:r w:rsidRPr="0011136D">
        <w:rPr>
          <w:rFonts w:ascii="Garamond" w:hAnsi="Garamond"/>
          <w:i/>
          <w:sz w:val="24"/>
          <w:szCs w:val="24"/>
        </w:rPr>
        <w:t>pro</w:t>
      </w:r>
      <w:r w:rsidRPr="0011136D">
        <w:rPr>
          <w:rFonts w:ascii="Garamond" w:hAnsi="Garamond"/>
          <w:sz w:val="24"/>
          <w:szCs w:val="24"/>
        </w:rPr>
        <w:t xml:space="preserve"> og </w:t>
      </w:r>
      <w:r w:rsidRPr="0011136D">
        <w:rPr>
          <w:rFonts w:ascii="Garamond" w:hAnsi="Garamond"/>
          <w:i/>
          <w:sz w:val="24"/>
          <w:szCs w:val="24"/>
        </w:rPr>
        <w:t>contra</w:t>
      </w:r>
      <w:r w:rsidRPr="0011136D">
        <w:rPr>
          <w:rFonts w:ascii="Garamond" w:hAnsi="Garamond"/>
          <w:sz w:val="24"/>
          <w:szCs w:val="24"/>
        </w:rPr>
        <w:t>). Der skal tages afsæt i tekstmaterialet, men det er oplagt, at eleverne også trækker på deres egen viden om emnet</w:t>
      </w:r>
    </w:p>
    <w:p w:rsidR="00B77CBF" w:rsidRPr="0011136D" w:rsidRDefault="00B77CBF" w:rsidP="00B77CBF">
      <w:pPr>
        <w:pStyle w:val="Listeafsnit"/>
        <w:numPr>
          <w:ilvl w:val="0"/>
          <w:numId w:val="1"/>
        </w:numPr>
        <w:spacing w:line="276" w:lineRule="auto"/>
        <w:rPr>
          <w:rFonts w:ascii="Garamond" w:hAnsi="Garamond"/>
          <w:sz w:val="24"/>
          <w:szCs w:val="24"/>
        </w:rPr>
      </w:pPr>
      <w:r w:rsidRPr="0011136D">
        <w:rPr>
          <w:rFonts w:ascii="Garamond" w:hAnsi="Garamond"/>
          <w:sz w:val="24"/>
          <w:szCs w:val="24"/>
        </w:rPr>
        <w:t xml:space="preserve">Positionere sig i forhold til emnet og de forskellige synspunkter om emnet. Dvs.: på en overbevisende og velovervejet måde </w:t>
      </w:r>
      <w:proofErr w:type="gramStart"/>
      <w:r w:rsidRPr="0011136D">
        <w:rPr>
          <w:rFonts w:ascii="Garamond" w:hAnsi="Garamond"/>
          <w:sz w:val="24"/>
          <w:szCs w:val="24"/>
        </w:rPr>
        <w:t>formulere</w:t>
      </w:r>
      <w:proofErr w:type="gramEnd"/>
      <w:r w:rsidRPr="0011136D">
        <w:rPr>
          <w:rFonts w:ascii="Garamond" w:hAnsi="Garamond"/>
          <w:sz w:val="24"/>
          <w:szCs w:val="24"/>
        </w:rPr>
        <w:t xml:space="preserve"> hvor de </w:t>
      </w:r>
      <w:r w:rsidRPr="0011136D">
        <w:rPr>
          <w:rFonts w:ascii="Garamond" w:hAnsi="Garamond"/>
          <w:i/>
          <w:sz w:val="24"/>
          <w:szCs w:val="24"/>
        </w:rPr>
        <w:t xml:space="preserve">selv </w:t>
      </w:r>
      <w:r w:rsidRPr="0011136D">
        <w:rPr>
          <w:rFonts w:ascii="Garamond" w:hAnsi="Garamond"/>
          <w:sz w:val="24"/>
          <w:szCs w:val="24"/>
        </w:rPr>
        <w:t xml:space="preserve">står i forhold til emnet  </w:t>
      </w:r>
    </w:p>
    <w:p w:rsidR="00B77CBF" w:rsidRPr="0011136D" w:rsidRDefault="00B77CBF" w:rsidP="00B77CBF">
      <w:pPr>
        <w:pStyle w:val="Listeafsnit"/>
        <w:numPr>
          <w:ilvl w:val="0"/>
          <w:numId w:val="1"/>
        </w:numPr>
        <w:spacing w:line="276" w:lineRule="auto"/>
        <w:rPr>
          <w:rFonts w:ascii="Garamond" w:hAnsi="Garamond"/>
          <w:sz w:val="24"/>
          <w:szCs w:val="24"/>
        </w:rPr>
      </w:pPr>
      <w:r w:rsidRPr="0011136D">
        <w:rPr>
          <w:rFonts w:ascii="Garamond" w:hAnsi="Garamond"/>
          <w:sz w:val="24"/>
          <w:szCs w:val="24"/>
        </w:rPr>
        <w:t>Bevæge sig både på et mere abstrakt og teoretisk debatniveau og på et konkret niveau med inddragelse af fagligt relevante eksempler, der illustrerer og underbygger synspunkterne. Eksemplerne kan være a) det supplerende tekstmateriale fra opgaven, b) stof fra undervisningen, c) noget eleverne har læst eller hørt og d) egne erfaringer og oplevelser</w:t>
      </w:r>
    </w:p>
    <w:p w:rsidR="00B77CBF" w:rsidRPr="0011136D" w:rsidRDefault="00B77CBF" w:rsidP="00B77CBF">
      <w:pPr>
        <w:pStyle w:val="Listeafsnit"/>
        <w:numPr>
          <w:ilvl w:val="0"/>
          <w:numId w:val="1"/>
        </w:numPr>
        <w:spacing w:line="276" w:lineRule="auto"/>
        <w:rPr>
          <w:rFonts w:ascii="Garamond" w:hAnsi="Garamond"/>
          <w:sz w:val="24"/>
          <w:szCs w:val="24"/>
        </w:rPr>
      </w:pPr>
      <w:r w:rsidRPr="0011136D">
        <w:rPr>
          <w:rFonts w:ascii="Garamond" w:hAnsi="Garamond"/>
          <w:sz w:val="24"/>
          <w:szCs w:val="24"/>
        </w:rPr>
        <w:t xml:space="preserve">Forholde sig til emnet og den faglige problemstilling på en måde, der vidner om 2 eller 3 års danskundervisning på A-niveau  </w:t>
      </w:r>
    </w:p>
    <w:p w:rsidR="00B77CBF" w:rsidRPr="0011136D" w:rsidRDefault="00B77CBF" w:rsidP="00B77CBF">
      <w:pPr>
        <w:pStyle w:val="Listeafsnit"/>
        <w:numPr>
          <w:ilvl w:val="0"/>
          <w:numId w:val="1"/>
        </w:numPr>
        <w:spacing w:line="276" w:lineRule="auto"/>
        <w:rPr>
          <w:rFonts w:ascii="Garamond" w:hAnsi="Garamond"/>
          <w:sz w:val="24"/>
          <w:szCs w:val="24"/>
        </w:rPr>
      </w:pPr>
      <w:r w:rsidRPr="0011136D">
        <w:rPr>
          <w:rFonts w:ascii="Garamond" w:hAnsi="Garamond"/>
          <w:sz w:val="24"/>
          <w:szCs w:val="24"/>
        </w:rPr>
        <w:t>Skrive engageret og med overbevisning</w:t>
      </w:r>
      <w:r>
        <w:rPr>
          <w:rFonts w:ascii="Garamond" w:hAnsi="Garamond"/>
          <w:sz w:val="24"/>
          <w:szCs w:val="24"/>
        </w:rPr>
        <w:t>.</w:t>
      </w:r>
    </w:p>
    <w:p w:rsidR="00B77CBF" w:rsidRPr="0011136D" w:rsidRDefault="00B77CBF" w:rsidP="00B77CBF">
      <w:pPr>
        <w:rPr>
          <w:rFonts w:ascii="Garamond" w:hAnsi="Garamond"/>
          <w:sz w:val="24"/>
          <w:szCs w:val="24"/>
        </w:rPr>
      </w:pPr>
      <w:r w:rsidRPr="0011136D">
        <w:rPr>
          <w:rFonts w:ascii="Garamond" w:hAnsi="Garamond"/>
          <w:sz w:val="24"/>
          <w:szCs w:val="24"/>
        </w:rPr>
        <w:t xml:space="preserve">Det er </w:t>
      </w:r>
      <w:r w:rsidRPr="0011136D">
        <w:rPr>
          <w:rFonts w:ascii="Garamond" w:hAnsi="Garamond"/>
          <w:i/>
          <w:iCs/>
          <w:sz w:val="24"/>
          <w:szCs w:val="24"/>
        </w:rPr>
        <w:t>ikke</w:t>
      </w:r>
      <w:r w:rsidRPr="0011136D">
        <w:rPr>
          <w:rFonts w:ascii="Garamond" w:hAnsi="Garamond"/>
          <w:sz w:val="24"/>
          <w:szCs w:val="24"/>
        </w:rPr>
        <w:t xml:space="preserve"> et krav, at der i inddragelsen af hovedteksten inddrages analysebegreber som ’</w:t>
      </w:r>
      <w:proofErr w:type="spellStart"/>
      <w:r w:rsidRPr="0011136D">
        <w:rPr>
          <w:rFonts w:ascii="Garamond" w:hAnsi="Garamond"/>
          <w:sz w:val="24"/>
          <w:szCs w:val="24"/>
        </w:rPr>
        <w:t>nodalpunkt</w:t>
      </w:r>
      <w:proofErr w:type="spellEnd"/>
      <w:r w:rsidRPr="0011136D">
        <w:rPr>
          <w:rFonts w:ascii="Garamond" w:hAnsi="Garamond"/>
          <w:sz w:val="24"/>
          <w:szCs w:val="24"/>
        </w:rPr>
        <w:t>’, ’skræmmeargument’ eller ’hjemmel’, men hvis eleven skønner, at det er centralt i forhold til forståelsen af teksten og i forhold til en</w:t>
      </w:r>
      <w:r>
        <w:rPr>
          <w:rFonts w:ascii="Garamond" w:hAnsi="Garamond"/>
          <w:sz w:val="24"/>
          <w:szCs w:val="24"/>
        </w:rPr>
        <w:t>s</w:t>
      </w:r>
      <w:r w:rsidRPr="0011136D">
        <w:rPr>
          <w:rFonts w:ascii="Garamond" w:hAnsi="Garamond"/>
          <w:sz w:val="24"/>
          <w:szCs w:val="24"/>
        </w:rPr>
        <w:t xml:space="preserve"> egen argumentation</w:t>
      </w:r>
      <w:r>
        <w:rPr>
          <w:rFonts w:ascii="Garamond" w:hAnsi="Garamond"/>
          <w:sz w:val="24"/>
          <w:szCs w:val="24"/>
        </w:rPr>
        <w:t>,</w:t>
      </w:r>
      <w:r w:rsidRPr="0011136D">
        <w:rPr>
          <w:rFonts w:ascii="Garamond" w:hAnsi="Garamond"/>
          <w:sz w:val="24"/>
          <w:szCs w:val="24"/>
        </w:rPr>
        <w:t xml:space="preserve"> må der godt analyseres på dele af argumentationsformen. Det er afgørende, at præsentationen og inddragelsen af tekst ikke udarter til en analyse</w:t>
      </w:r>
      <w:r>
        <w:rPr>
          <w:rFonts w:ascii="Garamond" w:hAnsi="Garamond"/>
          <w:sz w:val="24"/>
          <w:szCs w:val="24"/>
        </w:rPr>
        <w:t>.</w:t>
      </w:r>
      <w:r w:rsidRPr="0011136D">
        <w:rPr>
          <w:rFonts w:ascii="Garamond" w:hAnsi="Garamond"/>
          <w:sz w:val="24"/>
          <w:szCs w:val="24"/>
        </w:rPr>
        <w:t xml:space="preserve">   </w:t>
      </w:r>
    </w:p>
    <w:p w:rsidR="00B77CBF" w:rsidRPr="0011136D" w:rsidRDefault="00B77CBF" w:rsidP="00B77CBF">
      <w:pPr>
        <w:pStyle w:val="Overskrift2"/>
      </w:pPr>
      <w:bookmarkStart w:id="4" w:name="_Toc37577150"/>
      <w:r w:rsidRPr="0011136D">
        <w:t>Hvad er forskellen på diskussion og debat?</w:t>
      </w:r>
      <w:bookmarkEnd w:id="4"/>
    </w:p>
    <w:p w:rsidR="00B77CBF" w:rsidRPr="0011136D" w:rsidRDefault="00B77CBF" w:rsidP="00B77CBF">
      <w:pPr>
        <w:rPr>
          <w:rFonts w:ascii="Garamond" w:hAnsi="Garamond"/>
          <w:sz w:val="24"/>
          <w:szCs w:val="24"/>
        </w:rPr>
      </w:pPr>
      <w:r w:rsidRPr="0011136D">
        <w:rPr>
          <w:rFonts w:ascii="Garamond" w:hAnsi="Garamond"/>
          <w:sz w:val="24"/>
          <w:szCs w:val="24"/>
          <w:u w:val="single"/>
        </w:rPr>
        <w:t>Diskussion:</w:t>
      </w:r>
      <w:r w:rsidRPr="0011136D">
        <w:rPr>
          <w:rFonts w:ascii="Garamond" w:hAnsi="Garamond"/>
          <w:sz w:val="24"/>
          <w:szCs w:val="24"/>
        </w:rPr>
        <w:br/>
        <w:t>Formålet med diskussionen i den debatterende artikel er at gøre både sig selv og ens modtager klogere på opgavens faglige problemstilling ved at undersøge forskellige synspunkter på emnet gennem brug af eksempler og citater</w:t>
      </w:r>
      <w:r>
        <w:rPr>
          <w:rFonts w:ascii="Garamond" w:hAnsi="Garamond"/>
          <w:sz w:val="24"/>
          <w:szCs w:val="24"/>
        </w:rPr>
        <w:t xml:space="preserve"> fra tekstmaterialet</w:t>
      </w:r>
      <w:r w:rsidRPr="0011136D">
        <w:rPr>
          <w:rFonts w:ascii="Garamond" w:hAnsi="Garamond"/>
          <w:sz w:val="24"/>
          <w:szCs w:val="24"/>
        </w:rPr>
        <w:t>. Formålet er således ikke at overbevise modtageren om, at man har ret, men at vise synspunkter for (</w:t>
      </w:r>
      <w:r w:rsidRPr="0011136D">
        <w:rPr>
          <w:rFonts w:ascii="Garamond" w:hAnsi="Garamond"/>
          <w:i/>
          <w:iCs/>
          <w:sz w:val="24"/>
          <w:szCs w:val="24"/>
        </w:rPr>
        <w:t>pro</w:t>
      </w:r>
      <w:r w:rsidRPr="0011136D">
        <w:rPr>
          <w:rFonts w:ascii="Garamond" w:hAnsi="Garamond"/>
          <w:sz w:val="24"/>
          <w:szCs w:val="24"/>
        </w:rPr>
        <w:t>) og imod (</w:t>
      </w:r>
      <w:r w:rsidRPr="0011136D">
        <w:rPr>
          <w:rFonts w:ascii="Garamond" w:hAnsi="Garamond"/>
          <w:i/>
          <w:iCs/>
          <w:sz w:val="24"/>
          <w:szCs w:val="24"/>
        </w:rPr>
        <w:t>contra</w:t>
      </w:r>
      <w:r w:rsidRPr="0011136D">
        <w:rPr>
          <w:rFonts w:ascii="Garamond" w:hAnsi="Garamond"/>
          <w:sz w:val="24"/>
          <w:szCs w:val="24"/>
        </w:rPr>
        <w:t xml:space="preserve">) og dermed opridse forskellige holdninger, der kan anlægges på emnet. Det kan både være de synspunkter, som kommer til udtryk i tekstmaterialet, det kan være ens egne synspunkter, eller det kan være synspunkter, der formuleres som mere generelle dvs. som man formulerer ud fra sin almene viden om sagen. Synspunkterne diskuteres ved </w:t>
      </w:r>
      <w:r>
        <w:rPr>
          <w:rFonts w:ascii="Garamond" w:hAnsi="Garamond"/>
          <w:sz w:val="24"/>
          <w:szCs w:val="24"/>
        </w:rPr>
        <w:t xml:space="preserve">fx </w:t>
      </w:r>
      <w:r w:rsidRPr="0011136D">
        <w:rPr>
          <w:rFonts w:ascii="Garamond" w:hAnsi="Garamond"/>
          <w:sz w:val="24"/>
          <w:szCs w:val="24"/>
        </w:rPr>
        <w:t xml:space="preserve">at problematisere dem, vise paradokser, undersøge konsekvenser og markere uenigheder mellem </w:t>
      </w:r>
      <w:r>
        <w:rPr>
          <w:rFonts w:ascii="Garamond" w:hAnsi="Garamond"/>
          <w:sz w:val="24"/>
          <w:szCs w:val="24"/>
        </w:rPr>
        <w:t>de forskellige</w:t>
      </w:r>
      <w:r w:rsidRPr="0011136D">
        <w:rPr>
          <w:rFonts w:ascii="Garamond" w:hAnsi="Garamond"/>
          <w:sz w:val="24"/>
          <w:szCs w:val="24"/>
        </w:rPr>
        <w:t xml:space="preserve"> synspunkter.</w:t>
      </w:r>
    </w:p>
    <w:p w:rsidR="00B77CBF" w:rsidRPr="0011136D" w:rsidRDefault="00B77CBF" w:rsidP="00B77CBF">
      <w:pPr>
        <w:rPr>
          <w:rFonts w:ascii="Garamond" w:hAnsi="Garamond"/>
          <w:sz w:val="24"/>
          <w:szCs w:val="24"/>
        </w:rPr>
      </w:pPr>
      <w:r w:rsidRPr="0011136D">
        <w:rPr>
          <w:rFonts w:ascii="Garamond" w:hAnsi="Garamond"/>
          <w:sz w:val="24"/>
          <w:szCs w:val="24"/>
          <w:u w:val="single"/>
        </w:rPr>
        <w:t>Debat:</w:t>
      </w:r>
      <w:r w:rsidRPr="0011136D">
        <w:rPr>
          <w:rFonts w:ascii="Garamond" w:hAnsi="Garamond"/>
          <w:sz w:val="24"/>
          <w:szCs w:val="24"/>
        </w:rPr>
        <w:br/>
        <w:t>Formålet med en debat er at overbevise en modtager</w:t>
      </w:r>
      <w:r>
        <w:rPr>
          <w:rFonts w:ascii="Garamond" w:hAnsi="Garamond"/>
          <w:sz w:val="24"/>
          <w:szCs w:val="24"/>
        </w:rPr>
        <w:t xml:space="preserve"> </w:t>
      </w:r>
      <w:r w:rsidRPr="0011136D">
        <w:rPr>
          <w:rFonts w:ascii="Garamond" w:hAnsi="Garamond"/>
          <w:sz w:val="24"/>
          <w:szCs w:val="24"/>
        </w:rPr>
        <w:t>om</w:t>
      </w:r>
      <w:r>
        <w:rPr>
          <w:rFonts w:ascii="Garamond" w:hAnsi="Garamond"/>
          <w:sz w:val="24"/>
          <w:szCs w:val="24"/>
        </w:rPr>
        <w:t xml:space="preserve">, </w:t>
      </w:r>
      <w:r w:rsidRPr="0011136D">
        <w:rPr>
          <w:rFonts w:ascii="Garamond" w:hAnsi="Garamond"/>
          <w:sz w:val="24"/>
          <w:szCs w:val="24"/>
        </w:rPr>
        <w:t xml:space="preserve">at man har ret. Diskussion og debat hænger ofte tæt sammen, fordi diskussionen er med til at markere forskellige synspunkter på emnet. Hvor diskussionen søger at opnå forståelse og en vis grad af konsensus, er debattens formål også at fremføre de stærkeste argumenter og anvende en solid og saglig argumentation for at overbevise læseren. Det er derfor sjældent, at en diskussion og en debat kan adskilles fra hinanden. I debatten vil der ofte fra afsenders side blive anvendt forskellige argumentationsformer, som er med til at understøtte argumentationen og overbevise modtageren. Især her vil det være vigtigt at udtrykke sig med en stærk personlig stemme. </w:t>
      </w:r>
    </w:p>
    <w:p w:rsidR="00B77CBF" w:rsidRPr="0011136D" w:rsidRDefault="00B77CBF" w:rsidP="00B77CBF">
      <w:pPr>
        <w:pStyle w:val="Overskrift2"/>
        <w:rPr>
          <w:rFonts w:eastAsia="Calibri"/>
        </w:rPr>
      </w:pPr>
      <w:bookmarkStart w:id="5" w:name="_Toc37577151"/>
      <w:r w:rsidRPr="0011136D">
        <w:rPr>
          <w:rFonts w:eastAsia="Calibri"/>
        </w:rPr>
        <w:lastRenderedPageBreak/>
        <w:t>Den personlige stemme i den debatterende artikel</w:t>
      </w:r>
      <w:bookmarkEnd w:id="5"/>
    </w:p>
    <w:p w:rsidR="00B77CBF" w:rsidRPr="0011136D" w:rsidRDefault="00B77CBF" w:rsidP="00B77CBF">
      <w:pPr>
        <w:rPr>
          <w:rFonts w:ascii="Garamond" w:eastAsia="Calibri" w:hAnsi="Garamond" w:cs="Times New Roman"/>
          <w:sz w:val="24"/>
          <w:szCs w:val="24"/>
          <w:lang w:eastAsia="da-DK"/>
        </w:rPr>
      </w:pPr>
      <w:r w:rsidRPr="0011136D">
        <w:rPr>
          <w:rFonts w:ascii="Garamond" w:eastAsia="Calibri" w:hAnsi="Garamond" w:cs="Times New Roman"/>
          <w:sz w:val="24"/>
          <w:szCs w:val="24"/>
          <w:lang w:eastAsia="da-DK"/>
        </w:rPr>
        <w:t xml:space="preserve">Det er et centralt kendetegn ved både avisernes og nettets debatindlæg og eksamensgenren den debatterede artikel, at man som læser kan mærke, at der står et skrivende og engageret jeg bag ordene. Dette ’skriver-jeg’ – eller ’personlige stemme’ – kommer tydeligst til udtryk gennem </w:t>
      </w:r>
      <w:r w:rsidRPr="0011136D">
        <w:rPr>
          <w:rFonts w:ascii="Garamond" w:eastAsia="Calibri" w:hAnsi="Garamond" w:cs="Times New Roman"/>
          <w:i/>
          <w:iCs/>
          <w:sz w:val="24"/>
          <w:szCs w:val="24"/>
          <w:lang w:eastAsia="da-DK"/>
        </w:rPr>
        <w:t>en klar positionering</w:t>
      </w:r>
      <w:r w:rsidRPr="0011136D">
        <w:rPr>
          <w:rFonts w:ascii="Garamond" w:eastAsia="Calibri" w:hAnsi="Garamond" w:cs="Times New Roman"/>
          <w:sz w:val="24"/>
          <w:szCs w:val="24"/>
          <w:lang w:eastAsia="da-DK"/>
        </w:rPr>
        <w:t xml:space="preserve">, dvs. afsenderens egne holdning(er) til emnet, samt brugen af </w:t>
      </w:r>
      <w:r w:rsidRPr="0011136D">
        <w:rPr>
          <w:rFonts w:ascii="Garamond" w:eastAsia="Calibri" w:hAnsi="Garamond" w:cs="Times New Roman"/>
          <w:i/>
          <w:iCs/>
          <w:sz w:val="24"/>
          <w:szCs w:val="24"/>
          <w:lang w:eastAsia="da-DK"/>
        </w:rPr>
        <w:t>konkrete eksempler</w:t>
      </w:r>
      <w:r w:rsidRPr="0011136D">
        <w:rPr>
          <w:rFonts w:ascii="Garamond" w:eastAsia="Calibri" w:hAnsi="Garamond" w:cs="Times New Roman"/>
          <w:sz w:val="24"/>
          <w:szCs w:val="24"/>
          <w:lang w:eastAsia="da-DK"/>
        </w:rPr>
        <w:t xml:space="preserve">, der afspejler viden og indsigt. Med til eksamensopgaven hører som hovedregel eksempler. Det kan være tilstrækkeligt at bruge disse eksempler, men ofte vil det styrke argumentation, hvis eleven anvender et eller flere supplerende eksempler. </w:t>
      </w:r>
    </w:p>
    <w:p w:rsidR="00B77CBF" w:rsidRPr="0011136D" w:rsidRDefault="00B77CBF" w:rsidP="00B77CBF">
      <w:pPr>
        <w:spacing w:after="200" w:line="276" w:lineRule="auto"/>
        <w:rPr>
          <w:rFonts w:ascii="Garamond" w:eastAsia="Calibri" w:hAnsi="Garamond" w:cs="Times New Roman"/>
          <w:sz w:val="24"/>
          <w:szCs w:val="24"/>
          <w:lang w:eastAsia="da-DK"/>
        </w:rPr>
      </w:pPr>
      <w:r w:rsidRPr="0011136D">
        <w:rPr>
          <w:rFonts w:ascii="Garamond" w:eastAsia="Calibri" w:hAnsi="Garamond" w:cs="Times New Roman"/>
          <w:sz w:val="24"/>
          <w:szCs w:val="24"/>
          <w:lang w:eastAsia="da-DK"/>
        </w:rPr>
        <w:t xml:space="preserve">Den sproglige indpakning er næsten lige så vigtig som positioneringen og eksemplerne. Nogle af genrens mest </w:t>
      </w:r>
      <w:r>
        <w:rPr>
          <w:rFonts w:ascii="Garamond" w:eastAsia="Calibri" w:hAnsi="Garamond" w:cs="Times New Roman"/>
          <w:sz w:val="24"/>
          <w:szCs w:val="24"/>
          <w:lang w:eastAsia="da-DK"/>
        </w:rPr>
        <w:t>udbredte</w:t>
      </w:r>
      <w:r w:rsidRPr="0011136D">
        <w:rPr>
          <w:rFonts w:ascii="Garamond" w:eastAsia="Calibri" w:hAnsi="Garamond" w:cs="Times New Roman"/>
          <w:sz w:val="24"/>
          <w:szCs w:val="24"/>
          <w:lang w:eastAsia="da-DK"/>
        </w:rPr>
        <w:t xml:space="preserve"> greb er: </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bookmarkStart w:id="6" w:name="_Hlk37484064"/>
      <w:r w:rsidRPr="0011136D">
        <w:rPr>
          <w:rFonts w:ascii="Garamond" w:hAnsi="Garamond"/>
          <w:sz w:val="24"/>
          <w:szCs w:val="24"/>
        </w:rPr>
        <w:t>Ordvalg og styrkemarkører, dvs. sproglige op- og nedtoninger</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Humor</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Ironi</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 xml:space="preserve">Indigneret sprogtone </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 xml:space="preserve">Velovervejet brug af appelformerne patos, </w:t>
      </w:r>
      <w:proofErr w:type="gramStart"/>
      <w:r w:rsidRPr="0011136D">
        <w:rPr>
          <w:rFonts w:ascii="Garamond" w:hAnsi="Garamond"/>
          <w:sz w:val="24"/>
          <w:szCs w:val="24"/>
        </w:rPr>
        <w:t>logos og etos</w:t>
      </w:r>
      <w:proofErr w:type="gramEnd"/>
    </w:p>
    <w:p w:rsidR="00B77CBF" w:rsidRPr="008068F5"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Litterære virkemidler, fx metaforer, sammenligninger og stærke billeder</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 xml:space="preserve">Rytme og tempo, fx kortere sætninger og dermed et hurtigere tempo til at understrege en vigtig pointe   </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Tegn, fx … eller !</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Anaforer, triader og andre gentagelsesfigurer</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Retoriske spørgsmål</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Direkte læserhenvendelse</w:t>
      </w:r>
    </w:p>
    <w:p w:rsidR="00B77CBF" w:rsidRPr="00C462DF"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Metasprog</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Pr>
          <w:rFonts w:ascii="Garamond" w:hAnsi="Garamond"/>
          <w:sz w:val="24"/>
          <w:szCs w:val="24"/>
        </w:rPr>
        <w:t>Gennemgående billedsprog, semantik og/eller scenarier</w:t>
      </w:r>
    </w:p>
    <w:bookmarkEnd w:id="6"/>
    <w:p w:rsidR="00B77CBF" w:rsidRPr="0011136D" w:rsidRDefault="00B77CBF" w:rsidP="00B77CBF">
      <w:pPr>
        <w:ind w:left="1080"/>
        <w:contextualSpacing/>
        <w:rPr>
          <w:rFonts w:ascii="Garamond" w:eastAsia="Calibri" w:hAnsi="Garamond" w:cs="Times New Roman"/>
          <w:sz w:val="24"/>
          <w:szCs w:val="24"/>
          <w:lang w:eastAsia="da-DK"/>
        </w:rPr>
      </w:pPr>
    </w:p>
    <w:p w:rsidR="00B77CBF" w:rsidRPr="0011136D" w:rsidRDefault="00B77CBF" w:rsidP="00B77CBF">
      <w:pPr>
        <w:rPr>
          <w:rFonts w:ascii="Garamond" w:eastAsia="Calibri" w:hAnsi="Garamond" w:cs="Times New Roman"/>
          <w:sz w:val="24"/>
          <w:szCs w:val="24"/>
          <w:lang w:eastAsia="da-DK"/>
        </w:rPr>
      </w:pPr>
      <w:r w:rsidRPr="0011136D">
        <w:rPr>
          <w:rFonts w:ascii="Garamond" w:eastAsia="Calibri" w:hAnsi="Garamond" w:cs="Times New Roman"/>
          <w:sz w:val="24"/>
          <w:szCs w:val="24"/>
          <w:lang w:eastAsia="da-DK"/>
        </w:rPr>
        <w:t>Det er imidlertid afgørende, at eleven</w:t>
      </w:r>
      <w:r>
        <w:rPr>
          <w:rFonts w:ascii="Garamond" w:eastAsia="Calibri" w:hAnsi="Garamond" w:cs="Times New Roman"/>
          <w:sz w:val="24"/>
          <w:szCs w:val="24"/>
          <w:lang w:eastAsia="da-DK"/>
        </w:rPr>
        <w:t xml:space="preserve"> er bevid</w:t>
      </w:r>
      <w:r w:rsidRPr="0011136D">
        <w:rPr>
          <w:rFonts w:ascii="Garamond" w:eastAsia="Calibri" w:hAnsi="Garamond" w:cs="Times New Roman"/>
          <w:sz w:val="24"/>
          <w:szCs w:val="24"/>
          <w:lang w:eastAsia="da-DK"/>
        </w:rPr>
        <w:t>s</w:t>
      </w:r>
      <w:r>
        <w:rPr>
          <w:rFonts w:ascii="Garamond" w:eastAsia="Calibri" w:hAnsi="Garamond" w:cs="Times New Roman"/>
          <w:sz w:val="24"/>
          <w:szCs w:val="24"/>
          <w:lang w:eastAsia="da-DK"/>
        </w:rPr>
        <w:t>t i sit valg af virkemidler (og ikke fx slavisk følger listen ovenfor) samt at</w:t>
      </w:r>
      <w:r w:rsidRPr="0011136D">
        <w:rPr>
          <w:rFonts w:ascii="Garamond" w:eastAsia="Calibri" w:hAnsi="Garamond" w:cs="Times New Roman"/>
          <w:sz w:val="24"/>
          <w:szCs w:val="24"/>
          <w:lang w:eastAsia="da-DK"/>
        </w:rPr>
        <w:t xml:space="preserve"> brug</w:t>
      </w:r>
      <w:r>
        <w:rPr>
          <w:rFonts w:ascii="Garamond" w:eastAsia="Calibri" w:hAnsi="Garamond" w:cs="Times New Roman"/>
          <w:sz w:val="24"/>
          <w:szCs w:val="24"/>
          <w:lang w:eastAsia="da-DK"/>
        </w:rPr>
        <w:t>en</w:t>
      </w:r>
      <w:r w:rsidRPr="0011136D">
        <w:rPr>
          <w:rFonts w:ascii="Garamond" w:eastAsia="Calibri" w:hAnsi="Garamond" w:cs="Times New Roman"/>
          <w:sz w:val="24"/>
          <w:szCs w:val="24"/>
          <w:lang w:eastAsia="da-DK"/>
        </w:rPr>
        <w:t xml:space="preserve"> af virkemidler aldrig fjerner fokus fra indholdet. De forskellige greb skal altså ikke tænkes som pynt, men som virkemidler, der styrker artiklens pointer og påstande. Hvis eleven vælger fx at bruge en anafor eller allitteration, skal det være fordi, der er en pointe, han eller hun gerne vil give særlig vægt. Lige så vigtigt er det, at sproget og virkemidlerne afstemmes efter emne og vinkel. Hvis der anlægges en stærkt kritisk vinkel på et emne eller en person, giver det fx god mening at bruge kraftige styrkemarkører og bidsk ironi. Omvendt vil onkelhumor, underfundige ordspil eller blomstrende metaforer sjældent passe særlig godt med en alvorstung og stærkt kritisk vinkel. </w:t>
      </w:r>
    </w:p>
    <w:p w:rsidR="00B77CBF" w:rsidRPr="0011136D" w:rsidRDefault="00B77CBF" w:rsidP="00B77CBF">
      <w:pPr>
        <w:rPr>
          <w:rFonts w:ascii="Garamond" w:hAnsi="Garamond"/>
          <w:sz w:val="24"/>
          <w:szCs w:val="24"/>
        </w:rPr>
      </w:pPr>
    </w:p>
    <w:p w:rsidR="00B77CBF" w:rsidRDefault="00B77CBF" w:rsidP="00B77CBF">
      <w:pPr>
        <w:pStyle w:val="Overskrift1"/>
      </w:pPr>
      <w:bookmarkStart w:id="7" w:name="_Toc37577155"/>
    </w:p>
    <w:p w:rsidR="00B77CBF" w:rsidRPr="0011136D" w:rsidRDefault="00B77CBF" w:rsidP="00B77CBF">
      <w:pPr>
        <w:pStyle w:val="Overskrift1"/>
      </w:pPr>
      <w:r w:rsidRPr="0011136D">
        <w:t>Den analyserende artikel</w:t>
      </w:r>
      <w:bookmarkEnd w:id="7"/>
    </w:p>
    <w:p w:rsidR="00B77CBF" w:rsidRPr="00083B47" w:rsidRDefault="00B77CBF" w:rsidP="00B77CBF">
      <w:pPr>
        <w:pStyle w:val="Overskrift2"/>
      </w:pPr>
      <w:bookmarkStart w:id="8" w:name="_Toc16507679"/>
      <w:bookmarkStart w:id="9" w:name="_Toc37577156"/>
      <w:r w:rsidRPr="00083B47">
        <w:t>Hvad skal eleverne kunne, når de skriver en analyserende artikel?</w:t>
      </w:r>
      <w:bookmarkEnd w:id="8"/>
      <w:bookmarkEnd w:id="9"/>
    </w:p>
    <w:p w:rsidR="00B77CBF" w:rsidRPr="0011136D" w:rsidRDefault="00B77CBF" w:rsidP="00B77CBF">
      <w:pPr>
        <w:pStyle w:val="Listeafsnit"/>
        <w:numPr>
          <w:ilvl w:val="0"/>
          <w:numId w:val="1"/>
        </w:numPr>
        <w:spacing w:before="120" w:after="120" w:line="276" w:lineRule="auto"/>
        <w:rPr>
          <w:rFonts w:ascii="Garamond" w:hAnsi="Garamond"/>
          <w:sz w:val="24"/>
          <w:szCs w:val="24"/>
        </w:rPr>
      </w:pPr>
      <w:r w:rsidRPr="0011136D">
        <w:rPr>
          <w:rFonts w:ascii="Garamond" w:hAnsi="Garamond"/>
          <w:sz w:val="24"/>
          <w:szCs w:val="24"/>
        </w:rPr>
        <w:t>Lave en præcis, fokuseret og dybdegående analyse, hvor de undersøger det, opgaven beder dem om at undersøge</w:t>
      </w:r>
    </w:p>
    <w:p w:rsidR="00B77CBF" w:rsidRPr="0011136D" w:rsidRDefault="00B77CBF" w:rsidP="00B77CBF">
      <w:pPr>
        <w:pStyle w:val="Listeafsnit"/>
        <w:numPr>
          <w:ilvl w:val="0"/>
          <w:numId w:val="1"/>
        </w:numPr>
        <w:spacing w:line="276" w:lineRule="auto"/>
        <w:rPr>
          <w:rFonts w:ascii="Garamond" w:hAnsi="Garamond"/>
          <w:sz w:val="24"/>
          <w:szCs w:val="24"/>
        </w:rPr>
      </w:pPr>
      <w:r w:rsidRPr="0011136D">
        <w:rPr>
          <w:rFonts w:ascii="Garamond" w:hAnsi="Garamond"/>
          <w:sz w:val="24"/>
          <w:szCs w:val="24"/>
        </w:rPr>
        <w:t>Formidle undersøgelsen af teksten klart, vinklet og sammenhængende</w:t>
      </w:r>
    </w:p>
    <w:p w:rsidR="00B77CBF" w:rsidRPr="0011136D" w:rsidRDefault="00B77CBF" w:rsidP="00B77CBF">
      <w:pPr>
        <w:pStyle w:val="Listeafsnit"/>
        <w:numPr>
          <w:ilvl w:val="0"/>
          <w:numId w:val="1"/>
        </w:numPr>
        <w:spacing w:line="276" w:lineRule="auto"/>
        <w:rPr>
          <w:rFonts w:ascii="Garamond" w:hAnsi="Garamond"/>
          <w:sz w:val="24"/>
          <w:szCs w:val="24"/>
        </w:rPr>
      </w:pPr>
      <w:r w:rsidRPr="0011136D">
        <w:rPr>
          <w:rFonts w:ascii="Garamond" w:hAnsi="Garamond"/>
          <w:sz w:val="24"/>
          <w:szCs w:val="24"/>
        </w:rPr>
        <w:t xml:space="preserve">Vise blik for tekstens </w:t>
      </w:r>
      <w:r w:rsidRPr="0011136D">
        <w:rPr>
          <w:rFonts w:ascii="Garamond" w:hAnsi="Garamond"/>
          <w:i/>
          <w:sz w:val="24"/>
          <w:szCs w:val="24"/>
        </w:rPr>
        <w:t>hvad</w:t>
      </w:r>
      <w:r w:rsidRPr="0011136D">
        <w:rPr>
          <w:rFonts w:ascii="Garamond" w:hAnsi="Garamond"/>
          <w:sz w:val="24"/>
          <w:szCs w:val="24"/>
        </w:rPr>
        <w:t xml:space="preserve">, </w:t>
      </w:r>
      <w:r w:rsidRPr="0011136D">
        <w:rPr>
          <w:rFonts w:ascii="Garamond" w:hAnsi="Garamond"/>
          <w:i/>
          <w:sz w:val="24"/>
          <w:szCs w:val="24"/>
        </w:rPr>
        <w:t xml:space="preserve">hvordan </w:t>
      </w:r>
      <w:r w:rsidRPr="0011136D">
        <w:rPr>
          <w:rFonts w:ascii="Garamond" w:hAnsi="Garamond"/>
          <w:sz w:val="24"/>
          <w:szCs w:val="24"/>
        </w:rPr>
        <w:t xml:space="preserve">og </w:t>
      </w:r>
      <w:r w:rsidRPr="0011136D">
        <w:rPr>
          <w:rFonts w:ascii="Garamond" w:hAnsi="Garamond"/>
          <w:i/>
          <w:sz w:val="24"/>
          <w:szCs w:val="24"/>
        </w:rPr>
        <w:t>hvorfor</w:t>
      </w:r>
    </w:p>
    <w:p w:rsidR="00B77CBF" w:rsidRDefault="00B77CBF" w:rsidP="00B77CBF">
      <w:pPr>
        <w:pStyle w:val="Listeafsnit"/>
        <w:numPr>
          <w:ilvl w:val="0"/>
          <w:numId w:val="1"/>
        </w:numPr>
        <w:spacing w:line="276" w:lineRule="auto"/>
        <w:rPr>
          <w:rFonts w:ascii="Garamond" w:hAnsi="Garamond"/>
          <w:sz w:val="24"/>
          <w:szCs w:val="24"/>
        </w:rPr>
      </w:pPr>
      <w:r w:rsidRPr="0011136D">
        <w:rPr>
          <w:rFonts w:ascii="Garamond" w:hAnsi="Garamond"/>
          <w:sz w:val="24"/>
          <w:szCs w:val="24"/>
        </w:rPr>
        <w:lastRenderedPageBreak/>
        <w:t>Gå tæt på teksten og citere centrale passager og hæve sig over tekstnedslagene vha. relevante analysebegreber. Ved analyse af filmklip, kan eleverne også underbygge med skærmklip</w:t>
      </w:r>
    </w:p>
    <w:p w:rsidR="00B77CBF" w:rsidRPr="0011136D" w:rsidRDefault="00B77CBF" w:rsidP="00B77CBF">
      <w:pPr>
        <w:pStyle w:val="Listeafsnit"/>
        <w:numPr>
          <w:ilvl w:val="0"/>
          <w:numId w:val="1"/>
        </w:numPr>
        <w:spacing w:line="276" w:lineRule="auto"/>
        <w:rPr>
          <w:rFonts w:ascii="Garamond" w:hAnsi="Garamond"/>
          <w:sz w:val="24"/>
          <w:szCs w:val="24"/>
        </w:rPr>
      </w:pPr>
      <w:r w:rsidRPr="0011136D">
        <w:rPr>
          <w:rFonts w:ascii="Garamond" w:hAnsi="Garamond"/>
          <w:sz w:val="24"/>
          <w:szCs w:val="24"/>
        </w:rPr>
        <w:t xml:space="preserve">Forholde sig til </w:t>
      </w:r>
      <w:r>
        <w:rPr>
          <w:rFonts w:ascii="Garamond" w:hAnsi="Garamond"/>
          <w:sz w:val="24"/>
          <w:szCs w:val="24"/>
        </w:rPr>
        <w:t>opgaven og teksterne</w:t>
      </w:r>
      <w:r w:rsidRPr="0011136D">
        <w:rPr>
          <w:rFonts w:ascii="Garamond" w:hAnsi="Garamond"/>
          <w:sz w:val="24"/>
          <w:szCs w:val="24"/>
        </w:rPr>
        <w:t xml:space="preserve"> på en måde, der vidner om 2 eller 3 års danskundervisning på A-niveau</w:t>
      </w:r>
      <w:r>
        <w:rPr>
          <w:rFonts w:ascii="Garamond" w:hAnsi="Garamond"/>
          <w:sz w:val="24"/>
          <w:szCs w:val="24"/>
        </w:rPr>
        <w:t>.</w:t>
      </w:r>
      <w:r w:rsidRPr="0011136D">
        <w:rPr>
          <w:rFonts w:ascii="Garamond" w:hAnsi="Garamond"/>
          <w:sz w:val="24"/>
          <w:szCs w:val="24"/>
        </w:rPr>
        <w:t xml:space="preserve">  </w:t>
      </w:r>
    </w:p>
    <w:p w:rsidR="00B77CBF" w:rsidRPr="0011136D" w:rsidRDefault="00B77CBF" w:rsidP="00B77CBF">
      <w:pPr>
        <w:tabs>
          <w:tab w:val="left" w:pos="3010"/>
        </w:tabs>
        <w:rPr>
          <w:rFonts w:ascii="Garamond" w:hAnsi="Garamond"/>
          <w:sz w:val="24"/>
          <w:szCs w:val="24"/>
        </w:rPr>
      </w:pPr>
    </w:p>
    <w:p w:rsidR="00B77CBF" w:rsidRPr="0011136D" w:rsidRDefault="00B77CBF" w:rsidP="00B77CBF">
      <w:pPr>
        <w:pStyle w:val="Overskrift2"/>
      </w:pPr>
      <w:bookmarkStart w:id="10" w:name="_Toc37577157"/>
      <w:r w:rsidRPr="0011136D">
        <w:t>Den personlige stemme i den analyserende artikel</w:t>
      </w:r>
      <w:bookmarkEnd w:id="10"/>
    </w:p>
    <w:p w:rsidR="00B77CBF" w:rsidRPr="0011136D" w:rsidRDefault="00B77CBF" w:rsidP="00B77CBF">
      <w:pPr>
        <w:rPr>
          <w:rFonts w:ascii="Garamond" w:hAnsi="Garamond"/>
          <w:sz w:val="24"/>
          <w:szCs w:val="24"/>
        </w:rPr>
      </w:pPr>
      <w:r w:rsidRPr="0011136D">
        <w:rPr>
          <w:rFonts w:ascii="Garamond" w:hAnsi="Garamond"/>
          <w:sz w:val="24"/>
          <w:szCs w:val="24"/>
        </w:rPr>
        <w:t xml:space="preserve">I den analyserende artikel er det i mindre grad end i den debatterende og den reflekterende artikel et krav, at man udfolder en personlig stemme. Det er imidlertid kendetegnende for vellykkede analyserende artikler, at man som læser </w:t>
      </w:r>
      <w:r>
        <w:rPr>
          <w:rFonts w:ascii="Garamond" w:hAnsi="Garamond"/>
          <w:sz w:val="24"/>
          <w:szCs w:val="24"/>
        </w:rPr>
        <w:t xml:space="preserve">sagtens </w:t>
      </w:r>
      <w:r w:rsidRPr="0011136D">
        <w:rPr>
          <w:rFonts w:ascii="Garamond" w:hAnsi="Garamond"/>
          <w:sz w:val="24"/>
          <w:szCs w:val="24"/>
        </w:rPr>
        <w:t>kan mærke et skrivende og tænkende jeg bag analysen og teksten – også selvom der ikke gøres brug af pronomenet ’jeg’.</w:t>
      </w:r>
    </w:p>
    <w:p w:rsidR="00B77CBF" w:rsidRPr="0011136D" w:rsidRDefault="00B77CBF" w:rsidP="00B77CBF">
      <w:pPr>
        <w:rPr>
          <w:rFonts w:ascii="Garamond" w:hAnsi="Garamond"/>
          <w:sz w:val="24"/>
          <w:szCs w:val="24"/>
        </w:rPr>
      </w:pPr>
      <w:r w:rsidRPr="0011136D">
        <w:rPr>
          <w:rFonts w:ascii="Garamond" w:hAnsi="Garamond"/>
          <w:sz w:val="24"/>
          <w:szCs w:val="24"/>
        </w:rPr>
        <w:t>Den personlige stemme kommer ofte tydeligst til udtryk i:</w:t>
      </w:r>
    </w:p>
    <w:p w:rsidR="00B77CBF" w:rsidRPr="0011136D" w:rsidRDefault="00B77CBF" w:rsidP="00B77CBF">
      <w:pPr>
        <w:pStyle w:val="Listeafsnit"/>
        <w:numPr>
          <w:ilvl w:val="0"/>
          <w:numId w:val="1"/>
        </w:numPr>
        <w:rPr>
          <w:rFonts w:ascii="Garamond" w:hAnsi="Garamond"/>
          <w:sz w:val="24"/>
          <w:szCs w:val="24"/>
        </w:rPr>
      </w:pPr>
      <w:r w:rsidRPr="0011136D">
        <w:rPr>
          <w:rFonts w:ascii="Garamond" w:hAnsi="Garamond"/>
          <w:sz w:val="24"/>
          <w:szCs w:val="24"/>
        </w:rPr>
        <w:t>Den anlagte vinkel</w:t>
      </w:r>
    </w:p>
    <w:p w:rsidR="00B77CBF" w:rsidRPr="0011136D" w:rsidRDefault="00B77CBF" w:rsidP="00B77CBF">
      <w:pPr>
        <w:pStyle w:val="Listeafsnit"/>
        <w:numPr>
          <w:ilvl w:val="0"/>
          <w:numId w:val="1"/>
        </w:numPr>
        <w:rPr>
          <w:rFonts w:ascii="Garamond" w:hAnsi="Garamond"/>
          <w:sz w:val="24"/>
          <w:szCs w:val="24"/>
        </w:rPr>
      </w:pPr>
      <w:r w:rsidRPr="0011136D">
        <w:rPr>
          <w:rFonts w:ascii="Garamond" w:hAnsi="Garamond"/>
          <w:sz w:val="24"/>
          <w:szCs w:val="24"/>
        </w:rPr>
        <w:t>Indledningen og afrundingen</w:t>
      </w:r>
    </w:p>
    <w:p w:rsidR="00B77CBF" w:rsidRPr="0011136D" w:rsidRDefault="00B77CBF" w:rsidP="00B77CBF">
      <w:pPr>
        <w:pStyle w:val="Listeafsnit"/>
        <w:numPr>
          <w:ilvl w:val="0"/>
          <w:numId w:val="1"/>
        </w:numPr>
        <w:rPr>
          <w:rFonts w:ascii="Garamond" w:hAnsi="Garamond"/>
          <w:sz w:val="24"/>
          <w:szCs w:val="24"/>
        </w:rPr>
      </w:pPr>
      <w:r w:rsidRPr="0011136D">
        <w:rPr>
          <w:rFonts w:ascii="Garamond" w:hAnsi="Garamond"/>
          <w:sz w:val="24"/>
          <w:szCs w:val="24"/>
        </w:rPr>
        <w:t>Vurderingen (hvis opgaven kræver det)</w:t>
      </w:r>
    </w:p>
    <w:p w:rsidR="00B77CBF" w:rsidRPr="0011136D" w:rsidRDefault="00B77CBF" w:rsidP="00B77CBF">
      <w:pPr>
        <w:pStyle w:val="Listeafsnit"/>
        <w:numPr>
          <w:ilvl w:val="0"/>
          <w:numId w:val="1"/>
        </w:numPr>
        <w:rPr>
          <w:rFonts w:ascii="Garamond" w:hAnsi="Garamond"/>
          <w:sz w:val="24"/>
          <w:szCs w:val="24"/>
        </w:rPr>
      </w:pPr>
      <w:r w:rsidRPr="0011136D">
        <w:rPr>
          <w:rFonts w:ascii="Garamond" w:hAnsi="Garamond"/>
          <w:sz w:val="24"/>
          <w:szCs w:val="24"/>
        </w:rPr>
        <w:t>Formidlingsmæssige greb som</w:t>
      </w:r>
    </w:p>
    <w:p w:rsidR="00B77CBF" w:rsidRPr="0011136D" w:rsidRDefault="00B77CBF" w:rsidP="00B77CBF">
      <w:pPr>
        <w:pStyle w:val="Listeafsnit"/>
        <w:numPr>
          <w:ilvl w:val="1"/>
          <w:numId w:val="1"/>
        </w:numPr>
        <w:rPr>
          <w:rFonts w:ascii="Garamond" w:hAnsi="Garamond"/>
          <w:sz w:val="24"/>
          <w:szCs w:val="24"/>
        </w:rPr>
      </w:pPr>
      <w:r w:rsidRPr="0011136D">
        <w:rPr>
          <w:rFonts w:ascii="Garamond" w:hAnsi="Garamond"/>
          <w:sz w:val="24"/>
          <w:szCs w:val="24"/>
        </w:rPr>
        <w:t>Retoriske spørgsmål</w:t>
      </w:r>
    </w:p>
    <w:p w:rsidR="00B77CBF" w:rsidRPr="0011136D" w:rsidRDefault="00B77CBF" w:rsidP="00B77CBF">
      <w:pPr>
        <w:pStyle w:val="Listeafsnit"/>
        <w:numPr>
          <w:ilvl w:val="1"/>
          <w:numId w:val="1"/>
        </w:numPr>
        <w:rPr>
          <w:rFonts w:ascii="Garamond" w:hAnsi="Garamond"/>
          <w:sz w:val="24"/>
          <w:szCs w:val="24"/>
        </w:rPr>
      </w:pPr>
      <w:r w:rsidRPr="0011136D">
        <w:rPr>
          <w:rFonts w:ascii="Garamond" w:hAnsi="Garamond"/>
          <w:sz w:val="24"/>
          <w:szCs w:val="24"/>
        </w:rPr>
        <w:t>Metasprog, der peger på læsningen som en proces, hvor tekstmaterialet gradvist bliver åbnet</w:t>
      </w:r>
      <w:r>
        <w:rPr>
          <w:rFonts w:ascii="Garamond" w:hAnsi="Garamond"/>
          <w:sz w:val="24"/>
          <w:szCs w:val="24"/>
        </w:rPr>
        <w:t xml:space="preserve"> med eleven som en slags suveræn ordstyrer (</w:t>
      </w:r>
      <w:r w:rsidRPr="0011136D">
        <w:rPr>
          <w:rFonts w:ascii="Garamond" w:hAnsi="Garamond"/>
          <w:sz w:val="24"/>
          <w:szCs w:val="24"/>
        </w:rPr>
        <w:t>’Her ser vi altså…’, ’Det leder os frem til en central pointe…’, ’Sammenligner vi dette med livssynet hos Benny Andersen, springer det især i øjnene, at…’, ’Igen er det iøjnefaldende, hvordan…’)</w:t>
      </w:r>
    </w:p>
    <w:p w:rsidR="00B77CBF" w:rsidRPr="0011136D" w:rsidRDefault="00B77CBF" w:rsidP="00B77CBF">
      <w:pPr>
        <w:pStyle w:val="Listeafsnit"/>
        <w:numPr>
          <w:ilvl w:val="1"/>
          <w:numId w:val="1"/>
        </w:numPr>
        <w:rPr>
          <w:rFonts w:ascii="Garamond" w:hAnsi="Garamond"/>
          <w:sz w:val="24"/>
          <w:szCs w:val="24"/>
        </w:rPr>
      </w:pPr>
      <w:r w:rsidRPr="0011136D">
        <w:rPr>
          <w:rFonts w:ascii="Garamond" w:hAnsi="Garamond"/>
          <w:sz w:val="24"/>
          <w:szCs w:val="24"/>
        </w:rPr>
        <w:t>Brug af kolon</w:t>
      </w:r>
    </w:p>
    <w:p w:rsidR="00B77CBF" w:rsidRPr="0011136D" w:rsidRDefault="00B77CBF" w:rsidP="00B77CBF">
      <w:pPr>
        <w:pStyle w:val="Listeafsnit"/>
        <w:numPr>
          <w:ilvl w:val="1"/>
          <w:numId w:val="1"/>
        </w:numPr>
        <w:rPr>
          <w:rFonts w:ascii="Garamond" w:hAnsi="Garamond"/>
          <w:sz w:val="24"/>
          <w:szCs w:val="24"/>
        </w:rPr>
      </w:pPr>
      <w:r w:rsidRPr="0011136D">
        <w:rPr>
          <w:rFonts w:ascii="Garamond" w:hAnsi="Garamond"/>
          <w:sz w:val="24"/>
          <w:szCs w:val="24"/>
        </w:rPr>
        <w:t>Vekslen mellem lange og korte sætninger, bl.a. for at betone centrale pointer</w:t>
      </w:r>
      <w:r>
        <w:rPr>
          <w:rFonts w:ascii="Garamond" w:hAnsi="Garamond"/>
          <w:sz w:val="24"/>
          <w:szCs w:val="24"/>
        </w:rPr>
        <w:t>.</w:t>
      </w:r>
      <w:r w:rsidRPr="0011136D">
        <w:rPr>
          <w:rFonts w:ascii="Garamond" w:hAnsi="Garamond"/>
          <w:sz w:val="24"/>
          <w:szCs w:val="24"/>
        </w:rPr>
        <w:t xml:space="preserve">      </w:t>
      </w:r>
    </w:p>
    <w:p w:rsidR="00B77CBF" w:rsidRPr="0011136D" w:rsidRDefault="00B77CBF" w:rsidP="00B77CBF">
      <w:pPr>
        <w:rPr>
          <w:rFonts w:ascii="Garamond" w:hAnsi="Garamond"/>
          <w:sz w:val="24"/>
          <w:szCs w:val="24"/>
        </w:rPr>
      </w:pPr>
      <w:r w:rsidRPr="0011136D">
        <w:rPr>
          <w:rFonts w:ascii="Garamond" w:hAnsi="Garamond"/>
          <w:sz w:val="24"/>
          <w:szCs w:val="24"/>
        </w:rPr>
        <w:t xml:space="preserve">Overordnet set har skriver-jeget dog en mere tilbagetrukket og mindre synlig plads i den analyserende artikel, og sproglige, retoriske og stilistiske virkemidler bør derfor ikke have samme vægt som i den debatterende og den reflekterende artikel, fordi de risikerer at fjerne fokus fra analyseteksten/-teksterne. Dette betyder dog </w:t>
      </w:r>
      <w:r w:rsidRPr="0011136D">
        <w:rPr>
          <w:rFonts w:ascii="Garamond" w:hAnsi="Garamond"/>
          <w:i/>
          <w:iCs/>
          <w:sz w:val="24"/>
          <w:szCs w:val="24"/>
        </w:rPr>
        <w:t>ikke</w:t>
      </w:r>
      <w:r w:rsidRPr="0011136D">
        <w:rPr>
          <w:rFonts w:ascii="Garamond" w:hAnsi="Garamond"/>
          <w:sz w:val="24"/>
          <w:szCs w:val="24"/>
        </w:rPr>
        <w:t>, at eleven ikke må give ’farve’ til sproget vha. fx billedsprog, triader, beherskede allitterationer og anaforer o.l.</w:t>
      </w:r>
    </w:p>
    <w:p w:rsidR="00B77CBF" w:rsidRDefault="00B77CBF" w:rsidP="00B77CBF">
      <w:pPr>
        <w:rPr>
          <w:rFonts w:ascii="Garamond" w:hAnsi="Garamond"/>
          <w:sz w:val="24"/>
          <w:szCs w:val="24"/>
        </w:rPr>
      </w:pPr>
      <w:r w:rsidRPr="0011136D">
        <w:rPr>
          <w:rFonts w:ascii="Garamond" w:hAnsi="Garamond"/>
          <w:sz w:val="24"/>
          <w:szCs w:val="24"/>
        </w:rPr>
        <w:t xml:space="preserve">Et eksempel på, hvordan analyse, fortolkning og perspektivering kan udfoldes med en personlig og nærværende stemme, kan ses i </w:t>
      </w:r>
      <w:hyperlink r:id="rId7" w:history="1">
        <w:r w:rsidRPr="00D61DB8">
          <w:rPr>
            <w:rStyle w:val="Hyperlink"/>
            <w:rFonts w:ascii="Garamond" w:hAnsi="Garamond"/>
            <w:sz w:val="24"/>
            <w:szCs w:val="24"/>
          </w:rPr>
          <w:t>eksempelstil 9</w:t>
        </w:r>
      </w:hyperlink>
      <w:r w:rsidRPr="0011136D">
        <w:rPr>
          <w:rFonts w:ascii="Garamond" w:hAnsi="Garamond"/>
          <w:sz w:val="24"/>
          <w:szCs w:val="24"/>
        </w:rPr>
        <w:t>, hvor alle de skitserede greb ovenfor bliver bragt i anvendelse.</w:t>
      </w:r>
    </w:p>
    <w:p w:rsidR="00B77CBF" w:rsidRPr="0011136D" w:rsidRDefault="00B77CBF" w:rsidP="00B77CBF">
      <w:pPr>
        <w:rPr>
          <w:rFonts w:ascii="Garamond" w:hAnsi="Garamond"/>
          <w:sz w:val="24"/>
          <w:szCs w:val="24"/>
        </w:rPr>
      </w:pPr>
    </w:p>
    <w:p w:rsidR="00B77CBF" w:rsidRPr="0011136D" w:rsidRDefault="00B77CBF" w:rsidP="00B77CBF">
      <w:pPr>
        <w:pStyle w:val="Overskrift1"/>
      </w:pPr>
      <w:bookmarkStart w:id="11" w:name="_Toc37577160"/>
      <w:r w:rsidRPr="0011136D">
        <w:t>Den reflekterende artikel</w:t>
      </w:r>
      <w:bookmarkEnd w:id="11"/>
    </w:p>
    <w:p w:rsidR="00B77CBF" w:rsidRPr="004C134F" w:rsidRDefault="00B77CBF" w:rsidP="00B77CBF">
      <w:pPr>
        <w:pStyle w:val="Overskrift2"/>
      </w:pPr>
      <w:bookmarkStart w:id="12" w:name="_Toc16507693"/>
      <w:bookmarkStart w:id="13" w:name="_Toc37577161"/>
      <w:r w:rsidRPr="004C134F">
        <w:t>Hvad skal eleverne kunne, når de skriver en reflekterende artikel?</w:t>
      </w:r>
      <w:bookmarkEnd w:id="12"/>
      <w:bookmarkEnd w:id="13"/>
    </w:p>
    <w:p w:rsidR="00B77CBF" w:rsidRPr="0011136D" w:rsidRDefault="00B77CBF" w:rsidP="00B77CBF">
      <w:pPr>
        <w:pStyle w:val="Listeafsnit"/>
        <w:numPr>
          <w:ilvl w:val="0"/>
          <w:numId w:val="3"/>
        </w:numPr>
        <w:spacing w:after="0" w:line="276" w:lineRule="auto"/>
        <w:rPr>
          <w:rFonts w:ascii="Garamond" w:eastAsia="Times New Roman" w:hAnsi="Garamond" w:cs="Times New Roman"/>
          <w:sz w:val="24"/>
          <w:szCs w:val="24"/>
        </w:rPr>
      </w:pPr>
      <w:r w:rsidRPr="0011136D">
        <w:rPr>
          <w:rFonts w:ascii="Garamond" w:eastAsia="Times New Roman" w:hAnsi="Garamond" w:cs="Times New Roman"/>
          <w:sz w:val="24"/>
          <w:szCs w:val="24"/>
        </w:rPr>
        <w:t>Formulere abstrakte, (dansk)faglige overvejelser over emnet</w:t>
      </w:r>
    </w:p>
    <w:p w:rsidR="00B77CBF" w:rsidRPr="0011136D" w:rsidRDefault="00B77CBF" w:rsidP="00B77CBF">
      <w:pPr>
        <w:pStyle w:val="Listeafsnit"/>
        <w:numPr>
          <w:ilvl w:val="0"/>
          <w:numId w:val="3"/>
        </w:numPr>
        <w:spacing w:after="0" w:line="276" w:lineRule="auto"/>
        <w:rPr>
          <w:rFonts w:ascii="Garamond" w:eastAsia="Times New Roman" w:hAnsi="Garamond" w:cs="Times New Roman"/>
          <w:sz w:val="24"/>
          <w:szCs w:val="24"/>
        </w:rPr>
      </w:pPr>
      <w:r w:rsidRPr="0011136D">
        <w:rPr>
          <w:rFonts w:ascii="Garamond" w:eastAsia="Times New Roman" w:hAnsi="Garamond" w:cs="Times New Roman"/>
          <w:sz w:val="24"/>
          <w:szCs w:val="24"/>
        </w:rPr>
        <w:t xml:space="preserve">Præsentere og inddrage konkrete eksempler, som kobles til de abstrakte overvejelser. Det tilknyttede tekstmateriale giver som udgangspunkt forslag til eksempler, men eleverne kan også anvende stof fra undervisningen, egne iagttagelser, erfaringer og oplevelser, ting de har læst eller set i bøger, aviser, på nettet, i fjernsynet el.lign. </w:t>
      </w:r>
    </w:p>
    <w:p w:rsidR="00B77CBF" w:rsidRPr="0011136D" w:rsidRDefault="00B77CBF" w:rsidP="00B77CBF">
      <w:pPr>
        <w:pStyle w:val="Listeafsnit"/>
        <w:numPr>
          <w:ilvl w:val="0"/>
          <w:numId w:val="3"/>
        </w:numPr>
        <w:spacing w:after="0" w:line="276" w:lineRule="auto"/>
        <w:rPr>
          <w:rFonts w:ascii="Garamond" w:eastAsia="Times New Roman" w:hAnsi="Garamond" w:cs="Times New Roman"/>
          <w:sz w:val="24"/>
          <w:szCs w:val="24"/>
        </w:rPr>
      </w:pPr>
      <w:r w:rsidRPr="0011136D">
        <w:rPr>
          <w:rFonts w:ascii="Garamond" w:eastAsia="Times New Roman" w:hAnsi="Garamond" w:cs="Times New Roman"/>
          <w:sz w:val="24"/>
          <w:szCs w:val="24"/>
        </w:rPr>
        <w:lastRenderedPageBreak/>
        <w:t xml:space="preserve">Gå i dybden med en del af det udleverede materiale, dvs. kunne uddrage en eller flere vigtige analytiske pointer, som kobles til refleksionerne over emnet </w:t>
      </w:r>
    </w:p>
    <w:p w:rsidR="00B77CBF" w:rsidRPr="0011136D" w:rsidRDefault="00B77CBF" w:rsidP="00B77CBF">
      <w:pPr>
        <w:pStyle w:val="Listeafsnit"/>
        <w:numPr>
          <w:ilvl w:val="0"/>
          <w:numId w:val="3"/>
        </w:numPr>
        <w:spacing w:after="0" w:line="276" w:lineRule="auto"/>
        <w:rPr>
          <w:rFonts w:ascii="Garamond" w:eastAsia="Times New Roman" w:hAnsi="Garamond" w:cs="Times New Roman"/>
          <w:sz w:val="24"/>
          <w:szCs w:val="24"/>
        </w:rPr>
      </w:pPr>
      <w:r w:rsidRPr="0011136D">
        <w:rPr>
          <w:rFonts w:ascii="Garamond" w:eastAsia="Times New Roman" w:hAnsi="Garamond" w:cs="Times New Roman"/>
          <w:sz w:val="24"/>
          <w:szCs w:val="24"/>
        </w:rPr>
        <w:t xml:space="preserve">Skrive med en personlig og formidlingsbevidst stemme </w:t>
      </w:r>
    </w:p>
    <w:p w:rsidR="00B77CBF" w:rsidRDefault="00B77CBF" w:rsidP="00B77CBF">
      <w:pPr>
        <w:pStyle w:val="Listeafsnit"/>
        <w:numPr>
          <w:ilvl w:val="0"/>
          <w:numId w:val="3"/>
        </w:numPr>
        <w:spacing w:after="0" w:line="276" w:lineRule="auto"/>
        <w:rPr>
          <w:rFonts w:ascii="Garamond" w:eastAsia="Times New Roman" w:hAnsi="Garamond" w:cs="Times New Roman"/>
          <w:sz w:val="24"/>
          <w:szCs w:val="24"/>
        </w:rPr>
      </w:pPr>
      <w:r w:rsidRPr="0011136D">
        <w:rPr>
          <w:rFonts w:ascii="Garamond" w:eastAsia="Times New Roman" w:hAnsi="Garamond" w:cs="Times New Roman"/>
          <w:sz w:val="24"/>
          <w:szCs w:val="24"/>
        </w:rPr>
        <w:t>Skrive med progression, dvs.: Gennem refleksionerne og bevægelsen mellem konkret og abstrakt at åbne emnet og vise, hvordan de gennem den løbende tanke- og skriveproces bliver gradvist klogere på emnet</w:t>
      </w:r>
    </w:p>
    <w:p w:rsidR="00B77CBF" w:rsidRDefault="00B77CBF" w:rsidP="00B77CBF">
      <w:pPr>
        <w:pStyle w:val="Listeafsnit"/>
        <w:numPr>
          <w:ilvl w:val="0"/>
          <w:numId w:val="3"/>
        </w:numPr>
        <w:spacing w:line="276" w:lineRule="auto"/>
        <w:rPr>
          <w:rFonts w:ascii="Garamond" w:hAnsi="Garamond"/>
          <w:sz w:val="24"/>
          <w:szCs w:val="24"/>
        </w:rPr>
      </w:pPr>
      <w:r w:rsidRPr="0011136D">
        <w:rPr>
          <w:rFonts w:ascii="Garamond" w:hAnsi="Garamond"/>
          <w:sz w:val="24"/>
          <w:szCs w:val="24"/>
        </w:rPr>
        <w:t>Forholde sig til emnet og den faglige problemstilling på en måde, der vidner om 2 eller 3 års danskundervisning på A-niveau</w:t>
      </w:r>
      <w:r>
        <w:rPr>
          <w:rFonts w:ascii="Garamond" w:hAnsi="Garamond"/>
          <w:sz w:val="24"/>
          <w:szCs w:val="24"/>
        </w:rPr>
        <w:t>.</w:t>
      </w:r>
      <w:r w:rsidRPr="0011136D">
        <w:rPr>
          <w:rFonts w:ascii="Garamond" w:hAnsi="Garamond"/>
          <w:sz w:val="24"/>
          <w:szCs w:val="24"/>
        </w:rPr>
        <w:t xml:space="preserve">  </w:t>
      </w:r>
    </w:p>
    <w:p w:rsidR="00B77CBF" w:rsidRPr="00FC46BC" w:rsidRDefault="00B77CBF" w:rsidP="00B77CBF">
      <w:pPr>
        <w:pStyle w:val="Listeafsnit"/>
        <w:spacing w:line="276" w:lineRule="auto"/>
        <w:rPr>
          <w:rFonts w:ascii="Garamond" w:hAnsi="Garamond"/>
          <w:sz w:val="24"/>
          <w:szCs w:val="24"/>
        </w:rPr>
      </w:pPr>
    </w:p>
    <w:p w:rsidR="00B77CBF" w:rsidRPr="0011136D" w:rsidRDefault="00B77CBF" w:rsidP="00B77CBF">
      <w:pPr>
        <w:pStyle w:val="Overskrift2"/>
      </w:pPr>
      <w:bookmarkStart w:id="14" w:name="_Toc37577162"/>
      <w:r w:rsidRPr="0011136D">
        <w:t>Den personlige stemme i den reflekterende artikel</w:t>
      </w:r>
      <w:bookmarkEnd w:id="14"/>
    </w:p>
    <w:p w:rsidR="00B77CBF" w:rsidRPr="0011136D" w:rsidRDefault="00B77CBF" w:rsidP="00B77CBF">
      <w:pPr>
        <w:rPr>
          <w:rFonts w:ascii="Garamond" w:hAnsi="Garamond"/>
          <w:sz w:val="24"/>
          <w:szCs w:val="24"/>
        </w:rPr>
      </w:pPr>
      <w:r w:rsidRPr="0011136D">
        <w:rPr>
          <w:rFonts w:ascii="Garamond" w:hAnsi="Garamond"/>
          <w:sz w:val="24"/>
          <w:szCs w:val="24"/>
        </w:rPr>
        <w:t xml:space="preserve">I den reflekterende artikel er det afgørende, at man som læser tydeligt kan se og mærke, at der er et skrivende, engageret og nærværende jeg bag ordene. Den mest vellykkede reflekterende artikel er den, der giver læseren en oplevelse af at være helt tæt på skriver-jegets tanke- og skriveproces, så man næsten har en oplevelse af at være til stede, mens tankerækker og overvejelser (og dermed teksten) bliver til. </w:t>
      </w:r>
    </w:p>
    <w:p w:rsidR="00B77CBF" w:rsidRPr="0011136D" w:rsidRDefault="00B77CBF" w:rsidP="00B77CBF">
      <w:pPr>
        <w:rPr>
          <w:rFonts w:ascii="Garamond" w:hAnsi="Garamond"/>
          <w:sz w:val="24"/>
          <w:szCs w:val="24"/>
        </w:rPr>
      </w:pPr>
      <w:r w:rsidRPr="0011136D">
        <w:rPr>
          <w:rFonts w:ascii="Garamond" w:hAnsi="Garamond"/>
          <w:sz w:val="24"/>
          <w:szCs w:val="24"/>
        </w:rPr>
        <w:t>Den personlige stemme kommer især til udtryk gennem</w:t>
      </w:r>
    </w:p>
    <w:p w:rsidR="00B77CBF" w:rsidRPr="0011136D" w:rsidRDefault="00B77CBF" w:rsidP="00B77CBF">
      <w:pPr>
        <w:pStyle w:val="Listeafsnit"/>
        <w:numPr>
          <w:ilvl w:val="0"/>
          <w:numId w:val="2"/>
        </w:numPr>
        <w:spacing w:after="0" w:line="240" w:lineRule="auto"/>
        <w:rPr>
          <w:rFonts w:ascii="Garamond" w:hAnsi="Garamond"/>
          <w:sz w:val="24"/>
          <w:szCs w:val="24"/>
        </w:rPr>
      </w:pPr>
      <w:r w:rsidRPr="0011136D">
        <w:rPr>
          <w:rFonts w:ascii="Garamond" w:hAnsi="Garamond"/>
          <w:sz w:val="24"/>
          <w:szCs w:val="24"/>
        </w:rPr>
        <w:t>Selvoplevede eksempler</w:t>
      </w:r>
    </w:p>
    <w:p w:rsidR="00B77CBF" w:rsidRPr="0011136D" w:rsidRDefault="00B77CBF" w:rsidP="00B77CBF">
      <w:pPr>
        <w:pStyle w:val="Listeafsnit"/>
        <w:numPr>
          <w:ilvl w:val="0"/>
          <w:numId w:val="2"/>
        </w:numPr>
        <w:spacing w:after="0" w:line="240" w:lineRule="auto"/>
        <w:rPr>
          <w:rFonts w:ascii="Garamond" w:hAnsi="Garamond"/>
          <w:sz w:val="24"/>
          <w:szCs w:val="24"/>
        </w:rPr>
      </w:pPr>
      <w:r w:rsidRPr="0011136D">
        <w:rPr>
          <w:rFonts w:ascii="Garamond" w:hAnsi="Garamond"/>
          <w:sz w:val="24"/>
          <w:szCs w:val="24"/>
        </w:rPr>
        <w:t>Velovervejet brug af personlige pronominer (især ’jeg’ og ’vi’)</w:t>
      </w:r>
    </w:p>
    <w:p w:rsidR="00B77CBF" w:rsidRPr="0011136D" w:rsidRDefault="00B77CBF" w:rsidP="00B77CBF">
      <w:pPr>
        <w:pStyle w:val="Listeafsnit"/>
        <w:numPr>
          <w:ilvl w:val="0"/>
          <w:numId w:val="2"/>
        </w:numPr>
        <w:spacing w:after="0" w:line="240" w:lineRule="auto"/>
        <w:rPr>
          <w:rFonts w:ascii="Garamond" w:hAnsi="Garamond"/>
          <w:sz w:val="24"/>
          <w:szCs w:val="24"/>
        </w:rPr>
      </w:pPr>
      <w:r w:rsidRPr="0011136D">
        <w:rPr>
          <w:rFonts w:ascii="Garamond" w:hAnsi="Garamond"/>
          <w:sz w:val="24"/>
          <w:szCs w:val="24"/>
        </w:rPr>
        <w:t xml:space="preserve">Sproglige og stilistiske greb, fx </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Litterære virkemidler, fx allitterationer, metaforer, sammenligninger og personificeringer</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 xml:space="preserve">Rytme og tempo, fx kortere sætninger og dermed et hurtigere tempo til at understrege en vigtig pointe   </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Tegn, fx … eller !</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Anaforer, triader og andre gentagelsesfigurer</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eastAsia="Calibri" w:hAnsi="Garamond" w:cs="Times New Roman"/>
          <w:sz w:val="24"/>
          <w:szCs w:val="24"/>
          <w:lang w:eastAsia="da-DK"/>
        </w:rPr>
        <w:t>Opremsninger</w:t>
      </w:r>
      <w:r w:rsidRPr="0011136D">
        <w:rPr>
          <w:rFonts w:ascii="Garamond" w:hAnsi="Garamond"/>
          <w:sz w:val="24"/>
          <w:szCs w:val="24"/>
        </w:rPr>
        <w:t xml:space="preserve"> </w:t>
      </w:r>
    </w:p>
    <w:p w:rsidR="00B77CBF" w:rsidRPr="0011136D"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Metasprog</w:t>
      </w:r>
      <w:r w:rsidRPr="0011136D">
        <w:rPr>
          <w:rFonts w:ascii="Garamond" w:eastAsia="Calibri" w:hAnsi="Garamond" w:cs="Times New Roman"/>
          <w:sz w:val="24"/>
          <w:szCs w:val="24"/>
          <w:lang w:eastAsia="da-DK"/>
        </w:rPr>
        <w:t xml:space="preserve">, herunder </w:t>
      </w:r>
      <w:r w:rsidRPr="0011136D">
        <w:rPr>
          <w:rFonts w:ascii="Garamond" w:hAnsi="Garamond"/>
          <w:sz w:val="24"/>
          <w:szCs w:val="24"/>
        </w:rPr>
        <w:t>ord (fx ’måske’) og spørgsmålstegn, som peger på, at jeget tænker og overvejer</w:t>
      </w:r>
    </w:p>
    <w:p w:rsidR="00B77CBF" w:rsidRPr="00645300" w:rsidRDefault="00B77CBF" w:rsidP="00B77CBF">
      <w:pPr>
        <w:numPr>
          <w:ilvl w:val="1"/>
          <w:numId w:val="2"/>
        </w:numPr>
        <w:spacing w:after="0" w:line="240" w:lineRule="auto"/>
        <w:contextualSpacing/>
        <w:rPr>
          <w:rFonts w:ascii="Garamond" w:eastAsia="Calibri" w:hAnsi="Garamond" w:cs="Times New Roman"/>
          <w:sz w:val="24"/>
          <w:szCs w:val="24"/>
          <w:lang w:eastAsia="da-DK"/>
        </w:rPr>
      </w:pPr>
      <w:r w:rsidRPr="0011136D">
        <w:rPr>
          <w:rFonts w:ascii="Garamond" w:hAnsi="Garamond"/>
          <w:sz w:val="24"/>
          <w:szCs w:val="24"/>
        </w:rPr>
        <w:t>Dialogskabende virkemidler som retoriske spørgsmål og direkte læserhenvendelser</w:t>
      </w:r>
    </w:p>
    <w:p w:rsidR="00B77CBF" w:rsidRPr="00645300" w:rsidRDefault="00B77CBF" w:rsidP="00B77CBF">
      <w:pPr>
        <w:numPr>
          <w:ilvl w:val="1"/>
          <w:numId w:val="2"/>
        </w:numPr>
        <w:spacing w:after="0" w:line="240" w:lineRule="auto"/>
        <w:contextualSpacing/>
        <w:rPr>
          <w:rFonts w:ascii="Garamond" w:eastAsia="Calibri" w:hAnsi="Garamond" w:cs="Times New Roman"/>
          <w:sz w:val="24"/>
          <w:szCs w:val="24"/>
          <w:lang w:eastAsia="da-DK"/>
        </w:rPr>
      </w:pPr>
      <w:r>
        <w:rPr>
          <w:rFonts w:ascii="Garamond" w:hAnsi="Garamond"/>
          <w:sz w:val="24"/>
          <w:szCs w:val="24"/>
        </w:rPr>
        <w:t>Gennemgående billedsprog, semantik og/eller scenarier</w:t>
      </w:r>
    </w:p>
    <w:p w:rsidR="00B77CBF" w:rsidRPr="0011136D" w:rsidRDefault="00B77CBF" w:rsidP="00B77CBF">
      <w:pPr>
        <w:spacing w:after="0" w:line="240" w:lineRule="auto"/>
        <w:rPr>
          <w:rFonts w:ascii="Garamond" w:hAnsi="Garamond"/>
          <w:sz w:val="24"/>
          <w:szCs w:val="24"/>
        </w:rPr>
      </w:pPr>
    </w:p>
    <w:p w:rsidR="00B77CBF" w:rsidRPr="0011136D" w:rsidRDefault="00B77CBF" w:rsidP="00B77CBF">
      <w:pPr>
        <w:rPr>
          <w:rFonts w:ascii="Garamond" w:hAnsi="Garamond"/>
          <w:sz w:val="24"/>
          <w:szCs w:val="24"/>
        </w:rPr>
      </w:pPr>
    </w:p>
    <w:p w:rsidR="005F00E5" w:rsidRPr="00B77CBF" w:rsidRDefault="007F7C51">
      <w:pPr>
        <w:rPr>
          <w:b/>
          <w:bCs/>
        </w:rPr>
      </w:pPr>
    </w:p>
    <w:sectPr w:rsidR="005F00E5" w:rsidRPr="00B77CBF" w:rsidSect="004D56B0">
      <w:footerReference w:type="even" r:id="rId8"/>
      <w:footerReference w:type="default" r:id="rId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F7C51" w:rsidRDefault="007F7C51" w:rsidP="00B36A6C">
      <w:pPr>
        <w:spacing w:after="0" w:line="240" w:lineRule="auto"/>
      </w:pPr>
      <w:r>
        <w:separator/>
      </w:r>
    </w:p>
  </w:endnote>
  <w:endnote w:type="continuationSeparator" w:id="0">
    <w:p w:rsidR="007F7C51" w:rsidRDefault="007F7C51" w:rsidP="00B3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
      </w:rPr>
      <w:id w:val="564917488"/>
      <w:docPartObj>
        <w:docPartGallery w:val="Page Numbers (Bottom of Page)"/>
        <w:docPartUnique/>
      </w:docPartObj>
    </w:sdtPr>
    <w:sdtContent>
      <w:p w:rsidR="00B36A6C" w:rsidRDefault="00B36A6C" w:rsidP="000F162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rsidR="00B36A6C" w:rsidRDefault="00B36A6C" w:rsidP="00B36A6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
      </w:rPr>
      <w:id w:val="463004178"/>
      <w:docPartObj>
        <w:docPartGallery w:val="Page Numbers (Bottom of Page)"/>
        <w:docPartUnique/>
      </w:docPartObj>
    </w:sdtPr>
    <w:sdtContent>
      <w:p w:rsidR="00B36A6C" w:rsidRDefault="00B36A6C" w:rsidP="000F162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rsidR="00B36A6C" w:rsidRDefault="00B36A6C" w:rsidP="00B36A6C">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F7C51" w:rsidRDefault="007F7C51" w:rsidP="00B36A6C">
      <w:pPr>
        <w:spacing w:after="0" w:line="240" w:lineRule="auto"/>
      </w:pPr>
      <w:r>
        <w:separator/>
      </w:r>
    </w:p>
  </w:footnote>
  <w:footnote w:type="continuationSeparator" w:id="0">
    <w:p w:rsidR="007F7C51" w:rsidRDefault="007F7C51" w:rsidP="00B36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2754"/>
    <w:multiLevelType w:val="hybridMultilevel"/>
    <w:tmpl w:val="AFC48260"/>
    <w:lvl w:ilvl="0" w:tplc="755A98A6">
      <w:start w:val="20"/>
      <w:numFmt w:val="bullet"/>
      <w:lvlText w:val="-"/>
      <w:lvlJc w:val="left"/>
      <w:pPr>
        <w:ind w:left="720" w:hanging="360"/>
      </w:pPr>
      <w:rPr>
        <w:rFonts w:ascii="Garamond" w:eastAsia="Times New Roman" w:hAnsi="Garamond"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7F764C8"/>
    <w:multiLevelType w:val="hybridMultilevel"/>
    <w:tmpl w:val="C534D0CA"/>
    <w:lvl w:ilvl="0" w:tplc="5A689BF0">
      <w:numFmt w:val="bullet"/>
      <w:lvlText w:val="-"/>
      <w:lvlJc w:val="left"/>
      <w:pPr>
        <w:ind w:left="720" w:hanging="360"/>
      </w:pPr>
      <w:rPr>
        <w:rFonts w:ascii="Times New Roman" w:eastAsia="Cambria" w:hAnsi="Times New Roman" w:cs="Times New Roman" w:hint="default"/>
      </w:rPr>
    </w:lvl>
    <w:lvl w:ilvl="1" w:tplc="04060003">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5E1072C"/>
    <w:multiLevelType w:val="hybridMultilevel"/>
    <w:tmpl w:val="7FEE726A"/>
    <w:lvl w:ilvl="0" w:tplc="EB5820B8">
      <w:start w:val="12"/>
      <w:numFmt w:val="bullet"/>
      <w:lvlText w:val="-"/>
      <w:lvlJc w:val="left"/>
      <w:pPr>
        <w:ind w:left="1080" w:hanging="360"/>
      </w:pPr>
      <w:rPr>
        <w:rFonts w:ascii="Times New Roman" w:eastAsiaTheme="minorHAnsi" w:hAnsi="Times New Roman" w:cs="Times New Roman"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BF"/>
    <w:rsid w:val="002F4BD0"/>
    <w:rsid w:val="00362DDF"/>
    <w:rsid w:val="004D56B0"/>
    <w:rsid w:val="007F7C51"/>
    <w:rsid w:val="00B36A6C"/>
    <w:rsid w:val="00B77C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9284D123-1ADF-9247-9821-5AC2789C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7CBF"/>
    <w:pPr>
      <w:spacing w:after="160" w:line="259" w:lineRule="auto"/>
    </w:pPr>
    <w:rPr>
      <w:sz w:val="22"/>
      <w:szCs w:val="22"/>
    </w:rPr>
  </w:style>
  <w:style w:type="paragraph" w:styleId="Overskrift1">
    <w:name w:val="heading 1"/>
    <w:basedOn w:val="Normal"/>
    <w:next w:val="Normal"/>
    <w:link w:val="Overskrift1Tegn"/>
    <w:uiPriority w:val="9"/>
    <w:qFormat/>
    <w:rsid w:val="00B77C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B77CBF"/>
    <w:pPr>
      <w:keepNext/>
      <w:keepLines/>
      <w:spacing w:before="200" w:after="0" w:line="240" w:lineRule="auto"/>
      <w:outlineLvl w:val="1"/>
    </w:pPr>
    <w:rPr>
      <w:rFonts w:ascii="Garamond" w:eastAsiaTheme="majorEastAsia" w:hAnsi="Garamond" w:cstheme="majorBidi"/>
      <w:b/>
      <w:bCs/>
      <w:color w:val="000000" w:themeColor="text1"/>
      <w:sz w:val="26"/>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77CBF"/>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B77CBF"/>
    <w:rPr>
      <w:rFonts w:ascii="Garamond" w:eastAsiaTheme="majorEastAsia" w:hAnsi="Garamond" w:cstheme="majorBidi"/>
      <w:b/>
      <w:bCs/>
      <w:color w:val="000000" w:themeColor="text1"/>
      <w:sz w:val="26"/>
      <w:szCs w:val="26"/>
      <w:lang w:eastAsia="da-DK"/>
    </w:rPr>
  </w:style>
  <w:style w:type="paragraph" w:styleId="Listeafsnit">
    <w:name w:val="List Paragraph"/>
    <w:basedOn w:val="Normal"/>
    <w:uiPriority w:val="34"/>
    <w:qFormat/>
    <w:rsid w:val="00B77CBF"/>
    <w:pPr>
      <w:ind w:left="720"/>
      <w:contextualSpacing/>
    </w:pPr>
  </w:style>
  <w:style w:type="character" w:styleId="Hyperlink">
    <w:name w:val="Hyperlink"/>
    <w:basedOn w:val="Standardskrifttypeiafsnit"/>
    <w:uiPriority w:val="99"/>
    <w:unhideWhenUsed/>
    <w:rsid w:val="00B77CBF"/>
    <w:rPr>
      <w:color w:val="0563C1" w:themeColor="hyperlink"/>
      <w:u w:val="single"/>
    </w:rPr>
  </w:style>
  <w:style w:type="paragraph" w:styleId="Sidefod">
    <w:name w:val="footer"/>
    <w:basedOn w:val="Normal"/>
    <w:link w:val="SidefodTegn"/>
    <w:uiPriority w:val="99"/>
    <w:unhideWhenUsed/>
    <w:rsid w:val="00B36A6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36A6C"/>
    <w:rPr>
      <w:sz w:val="22"/>
      <w:szCs w:val="22"/>
    </w:rPr>
  </w:style>
  <w:style w:type="character" w:styleId="Sidetal">
    <w:name w:val="page number"/>
    <w:basedOn w:val="Standardskrifttypeiafsnit"/>
    <w:uiPriority w:val="99"/>
    <w:semiHidden/>
    <w:unhideWhenUsed/>
    <w:rsid w:val="00B3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dialib.cmcdn.dk/medialibrary/DB9E3D60-4DC7-45D4-9D5A-1858015F6005/1B3F8C9F-AC63-EA11-8436-00155D0B094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8429</Characters>
  <Application>Microsoft Office Word</Application>
  <DocSecurity>0</DocSecurity>
  <Lines>70</Lines>
  <Paragraphs>19</Paragraphs>
  <ScaleCrop>false</ScaleCrop>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S�ndergaard</dc:creator>
  <cp:keywords/>
  <dc:description/>
  <cp:lastModifiedBy>Merete S�ndergaard</cp:lastModifiedBy>
  <cp:revision>3</cp:revision>
  <dcterms:created xsi:type="dcterms:W3CDTF">2020-04-16T15:27:00Z</dcterms:created>
  <dcterms:modified xsi:type="dcterms:W3CDTF">2020-08-20T10:34:00Z</dcterms:modified>
</cp:coreProperties>
</file>