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383DA" w14:textId="189B4CEC" w:rsidR="00185F67" w:rsidRDefault="00185F67" w:rsidP="0036771C">
      <w:pPr>
        <w:spacing w:after="0"/>
        <w:jc w:val="center"/>
        <w:rPr>
          <w:b/>
          <w:color w:val="943634" w:themeColor="accent2" w:themeShade="BF"/>
          <w:sz w:val="28"/>
          <w:szCs w:val="28"/>
        </w:rPr>
      </w:pPr>
      <w:r>
        <w:rPr>
          <w:b/>
          <w:color w:val="943634" w:themeColor="accent2" w:themeShade="BF"/>
          <w:sz w:val="28"/>
          <w:szCs w:val="28"/>
        </w:rPr>
        <w:t>Debatterende</w:t>
      </w:r>
      <w:r w:rsidRPr="00F41762">
        <w:rPr>
          <w:b/>
          <w:color w:val="943634" w:themeColor="accent2" w:themeShade="BF"/>
          <w:sz w:val="28"/>
          <w:szCs w:val="28"/>
        </w:rPr>
        <w:t xml:space="preserve"> artikel </w:t>
      </w:r>
    </w:p>
    <w:p w14:paraId="15F7E143" w14:textId="1D2B50DF" w:rsidR="0036771C" w:rsidRDefault="0036771C" w:rsidP="0036771C">
      <w:pPr>
        <w:spacing w:after="0"/>
        <w:jc w:val="center"/>
        <w:rPr>
          <w:b/>
          <w:color w:val="943634" w:themeColor="accent2" w:themeShade="BF"/>
          <w:sz w:val="28"/>
          <w:szCs w:val="28"/>
        </w:rPr>
      </w:pPr>
      <w:r>
        <w:rPr>
          <w:b/>
          <w:color w:val="943634" w:themeColor="accent2" w:themeShade="BF"/>
          <w:sz w:val="28"/>
          <w:szCs w:val="28"/>
        </w:rPr>
        <w:t>”</w:t>
      </w:r>
      <w:r w:rsidR="001C5923">
        <w:rPr>
          <w:b/>
          <w:color w:val="943634" w:themeColor="accent2" w:themeShade="BF"/>
          <w:sz w:val="28"/>
          <w:szCs w:val="28"/>
        </w:rPr>
        <w:t>Bliver iscenesættelse en anden historie”</w:t>
      </w:r>
    </w:p>
    <w:p w14:paraId="59C06162" w14:textId="0858C952" w:rsidR="00B12077" w:rsidRDefault="001C5923">
      <w:r>
        <w:rPr>
          <w:b/>
          <w:color w:val="943634" w:themeColor="accent2" w:themeShade="BF"/>
          <w:sz w:val="28"/>
          <w:szCs w:val="28"/>
        </w:rPr>
        <w:t>Fælles retteark</w:t>
      </w:r>
    </w:p>
    <w:tbl>
      <w:tblPr>
        <w:tblStyle w:val="Tabel-Gitter"/>
        <w:tblW w:w="0" w:type="auto"/>
        <w:tblLook w:val="04A0" w:firstRow="1" w:lastRow="0" w:firstColumn="1" w:lastColumn="0" w:noHBand="0" w:noVBand="1"/>
      </w:tblPr>
      <w:tblGrid>
        <w:gridCol w:w="2360"/>
        <w:gridCol w:w="7268"/>
      </w:tblGrid>
      <w:tr w:rsidR="00B12077" w:rsidRPr="004F3639" w14:paraId="59C0616A" w14:textId="77777777" w:rsidTr="00B12077">
        <w:tc>
          <w:tcPr>
            <w:tcW w:w="2376" w:type="dxa"/>
          </w:tcPr>
          <w:p w14:paraId="59C06163" w14:textId="77777777" w:rsidR="00B12077" w:rsidRDefault="00B12077">
            <w:r>
              <w:t>Sprog</w:t>
            </w:r>
          </w:p>
        </w:tc>
        <w:tc>
          <w:tcPr>
            <w:tcW w:w="7402" w:type="dxa"/>
          </w:tcPr>
          <w:p w14:paraId="59C06164" w14:textId="77777777" w:rsidR="00B12077" w:rsidRDefault="00B12077"/>
          <w:p w14:paraId="59C06165" w14:textId="1799343E" w:rsidR="00B12077" w:rsidRDefault="00490013">
            <w:r>
              <w:t>Drop metasprog (”I den her</w:t>
            </w:r>
            <w:r w:rsidR="001B3D45">
              <w:t xml:space="preserve"> tekst vil jeg undersøge”).</w:t>
            </w:r>
          </w:p>
          <w:p w14:paraId="59C06166" w14:textId="77777777" w:rsidR="00B12077" w:rsidRDefault="00B12077"/>
          <w:p w14:paraId="59C06167" w14:textId="2CFAD1C9" w:rsidR="00B90C8C" w:rsidRPr="00B436A7" w:rsidRDefault="00676FBC">
            <w:r w:rsidRPr="00B436A7">
              <w:t>Hans/sin (”Kjeldsmark skriver i hans bog…”)</w:t>
            </w:r>
          </w:p>
          <w:p w14:paraId="03913667" w14:textId="2544AC66" w:rsidR="003B370E" w:rsidRPr="003B370E" w:rsidRDefault="003B370E">
            <w:r w:rsidRPr="003B370E">
              <w:t>Nogl</w:t>
            </w:r>
            <w:r>
              <w:t>e/nogen</w:t>
            </w:r>
          </w:p>
          <w:p w14:paraId="59C06168" w14:textId="77777777" w:rsidR="00B90C8C" w:rsidRPr="003B370E" w:rsidRDefault="00B90C8C"/>
          <w:p w14:paraId="5A442340" w14:textId="71E61FC9" w:rsidR="004F3639" w:rsidRDefault="004F3639">
            <w:r w:rsidRPr="004F3639">
              <w:t>Formalia ved titler skal o</w:t>
            </w:r>
            <w:r>
              <w:t>verholdes</w:t>
            </w:r>
          </w:p>
          <w:p w14:paraId="28042258" w14:textId="77777777" w:rsidR="00E22030" w:rsidRDefault="00E22030"/>
          <w:p w14:paraId="2572A357" w14:textId="6F61BBEB" w:rsidR="00E22030" w:rsidRDefault="00E22030">
            <w:r>
              <w:t>Vis jeres ansigt</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Skab jeres egen personlige sprogtone</w:t>
            </w:r>
          </w:p>
          <w:p w14:paraId="7396C80A" w14:textId="77777777" w:rsidR="00746428" w:rsidRDefault="00746428"/>
          <w:p w14:paraId="5FC0C0CC" w14:textId="5DC0EF76" w:rsidR="00746428" w:rsidRDefault="00746428">
            <w:r>
              <w:t xml:space="preserve">”Da </w:t>
            </w:r>
            <w:r w:rsidR="00595216">
              <w:t>filmatiseringen af Peter Høegs bog frk Smillas fornemmelse for sne så man hvor dårlig litteratur det var.”</w:t>
            </w:r>
            <w:r w:rsidR="00A26DCE">
              <w:t xml:space="preserve"> Klassisk</w:t>
            </w:r>
            <w:r w:rsidR="00A26DCE">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p>
          <w:p w14:paraId="65C4CB0A" w14:textId="77777777" w:rsidR="004B20C8" w:rsidRDefault="004B20C8"/>
          <w:p w14:paraId="3AFB5CF1" w14:textId="36508048" w:rsidR="004B20C8" w:rsidRPr="004F3639" w:rsidRDefault="004B20C8">
            <w:r>
              <w:t>Aldrig kun fornavn på forfattere</w:t>
            </w:r>
          </w:p>
          <w:p w14:paraId="7A20022B" w14:textId="77777777" w:rsidR="00B12077" w:rsidRDefault="00B12077"/>
          <w:p w14:paraId="656941EB" w14:textId="77777777" w:rsidR="00C71203" w:rsidRDefault="00C71203">
            <w:r>
              <w:t>Hvis sproget er usammenhængende, hvordan bliver indholdet så? Ret igennem!</w:t>
            </w:r>
          </w:p>
          <w:p w14:paraId="7A03F148" w14:textId="77777777" w:rsidR="00C71203" w:rsidRDefault="00C71203"/>
          <w:p w14:paraId="325A90E7" w14:textId="4E5FB850" w:rsidR="00C32409" w:rsidRDefault="005F26ED">
            <w:r>
              <w:t>Drop t</w:t>
            </w:r>
            <w:r w:rsidR="00C32409">
              <w:t>alesprog: ”</w:t>
            </w:r>
            <w:r w:rsidR="0047364B">
              <w:t>som denne her hjælpende hår”, ”</w:t>
            </w:r>
            <w:r w:rsidR="00B27164">
              <w:t>den her lidt underlige kvinde”</w:t>
            </w:r>
          </w:p>
          <w:p w14:paraId="59C06169" w14:textId="72837F44" w:rsidR="00B27164" w:rsidRPr="004F3639" w:rsidRDefault="005F26ED">
            <w:r>
              <w:t>MEN arbejd med en personlig sprogtone.</w:t>
            </w:r>
          </w:p>
        </w:tc>
      </w:tr>
      <w:tr w:rsidR="00B12077" w14:paraId="59C06172" w14:textId="77777777" w:rsidTr="00B12077">
        <w:tc>
          <w:tcPr>
            <w:tcW w:w="2376" w:type="dxa"/>
          </w:tcPr>
          <w:p w14:paraId="59C0616B" w14:textId="77777777" w:rsidR="00B12077" w:rsidRDefault="00B12077">
            <w:r>
              <w:t>Struktur</w:t>
            </w:r>
          </w:p>
        </w:tc>
        <w:tc>
          <w:tcPr>
            <w:tcW w:w="7402" w:type="dxa"/>
          </w:tcPr>
          <w:p w14:paraId="59C0616C" w14:textId="77777777" w:rsidR="00B12077" w:rsidRDefault="00B12077"/>
          <w:p w14:paraId="636F62CF" w14:textId="57B39C13" w:rsidR="00B436A7" w:rsidRDefault="00B436A7">
            <w:r>
              <w:t xml:space="preserve">”Kastanjemanden ødelagde en del af min barndom” – Dén titel kan fungere super! Hvordan? </w:t>
            </w:r>
          </w:p>
          <w:p w14:paraId="344D1077" w14:textId="77777777" w:rsidR="00780D07" w:rsidRDefault="00780D07"/>
          <w:p w14:paraId="661C62C1" w14:textId="33D152A0" w:rsidR="00780D07" w:rsidRDefault="00780D07">
            <w:r>
              <w:t xml:space="preserve">Se eksempel på velfungerende </w:t>
            </w:r>
            <w:r w:rsidR="00EC34C2">
              <w:t xml:space="preserve">og fængende </w:t>
            </w:r>
            <w:r>
              <w:t>indledning med personlig sprogton</w:t>
            </w:r>
            <w:r w:rsidR="00EC34C2">
              <w:t>e – under skemaet.</w:t>
            </w:r>
          </w:p>
          <w:p w14:paraId="5AEB0101" w14:textId="77777777" w:rsidR="00B436A7" w:rsidRDefault="00B436A7"/>
          <w:p w14:paraId="59C0616D" w14:textId="7E56CFD0" w:rsidR="00B90C8C" w:rsidRDefault="001B3D45">
            <w:r>
              <w:t>Drej debatterende allerede i indledningen. Fokus på genren (strategi).</w:t>
            </w:r>
          </w:p>
          <w:p w14:paraId="0C5F65A1" w14:textId="77777777" w:rsidR="004F691A" w:rsidRDefault="004F691A"/>
          <w:p w14:paraId="707DF0D4" w14:textId="3CDACDE7" w:rsidR="004F691A" w:rsidRDefault="004F691A">
            <w:r>
              <w:t xml:space="preserve">Drop overskrifter undervejs. </w:t>
            </w:r>
          </w:p>
          <w:p w14:paraId="59C0616E" w14:textId="77777777" w:rsidR="00B90C8C" w:rsidRDefault="00B90C8C"/>
          <w:p w14:paraId="59C06170" w14:textId="67970F27" w:rsidR="00B12077" w:rsidRDefault="00940AF3">
            <w:r>
              <w:t>Tekstøkonomi</w:t>
            </w:r>
          </w:p>
          <w:p w14:paraId="59C06171" w14:textId="77777777" w:rsidR="00B12077" w:rsidRDefault="00B12077"/>
        </w:tc>
      </w:tr>
      <w:tr w:rsidR="00B12077" w:rsidRPr="0025563B" w14:paraId="59C0617A" w14:textId="77777777" w:rsidTr="00B12077">
        <w:tc>
          <w:tcPr>
            <w:tcW w:w="2376" w:type="dxa"/>
          </w:tcPr>
          <w:p w14:paraId="59C06173" w14:textId="77777777" w:rsidR="00B12077" w:rsidRDefault="00B12077">
            <w:r>
              <w:t>Faglighed</w:t>
            </w:r>
          </w:p>
        </w:tc>
        <w:tc>
          <w:tcPr>
            <w:tcW w:w="7402" w:type="dxa"/>
          </w:tcPr>
          <w:p w14:paraId="59C06174" w14:textId="77777777" w:rsidR="00B12077" w:rsidRDefault="00B12077"/>
          <w:p w14:paraId="59C06175" w14:textId="2BE9EA93" w:rsidR="00B90C8C" w:rsidRDefault="00212B05">
            <w:r>
              <w:t>Arbejd indgående med de enkelte delgenrers genremarkører (</w:t>
            </w:r>
            <w:r w:rsidR="001C38E0">
              <w:t>”</w:t>
            </w:r>
            <w:r>
              <w:t>Kje</w:t>
            </w:r>
            <w:r w:rsidR="001C38E0">
              <w:t>ldsmarks hovedsynspunkt er”, ”Nogle vil mene at, mens andre vil mene”, ”på den ene side, på den anden side”, ”Jeg mener”).</w:t>
            </w:r>
          </w:p>
          <w:p w14:paraId="59C06176" w14:textId="77777777" w:rsidR="00B90C8C" w:rsidRDefault="00B90C8C"/>
          <w:p w14:paraId="59C06177" w14:textId="3B86E7E3" w:rsidR="00B90C8C" w:rsidRDefault="003D33D0">
            <w:r>
              <w:t xml:space="preserve">Undgå: ”Det varierer fra person til person”. </w:t>
            </w:r>
            <w:r w:rsidR="00D32DC0">
              <w:t>”</w:t>
            </w:r>
            <w:r w:rsidR="00231927">
              <w:t xml:space="preserve">Uanset hvad vil diskussionen fortsætte”. </w:t>
            </w:r>
            <w:r w:rsidR="00676FBC">
              <w:t>Hvorfor</w:t>
            </w:r>
            <w:r w:rsidR="00231927">
              <w:t xml:space="preserve"> du´er det ikke </w:t>
            </w:r>
            <w:r w:rsidR="00C44534">
              <w:t>som afslutning i en debatterende</w:t>
            </w:r>
            <w:r w:rsidR="00676FBC">
              <w:t>?</w:t>
            </w:r>
          </w:p>
          <w:p w14:paraId="0E828872" w14:textId="77777777" w:rsidR="00F07708" w:rsidRDefault="00F07708"/>
          <w:p w14:paraId="59C06178" w14:textId="518912AF" w:rsidR="00B12077" w:rsidRPr="00B436A7" w:rsidRDefault="00874EF2">
            <w:r w:rsidRPr="00B436A7">
              <w:t xml:space="preserve">Overbevis! </w:t>
            </w:r>
            <w:r w:rsidR="00CE44DB">
              <w:t>V</w:t>
            </w:r>
            <w:r w:rsidRPr="00B436A7">
              <w:t>elkvalificeret</w:t>
            </w:r>
            <w:r w:rsidR="00CE44DB">
              <w:t xml:space="preserve"> argumentation</w:t>
            </w:r>
            <w:r w:rsidR="007022A8">
              <w:t>, som i det viste eksempel, er overbevisende – også selvom jeg egentlig ikke er enig</w:t>
            </w:r>
            <w:r w:rsidRPr="00874EF2">
              <w:rPr>
                <mc:AlternateContent>
                  <mc:Choice Requires="w16se"/>
                  <mc:Fallback>
                    <w:rFonts w:ascii="Segoe UI Emoji" w:eastAsia="Segoe UI Emoji" w:hAnsi="Segoe UI Emoji" w:cs="Segoe UI Emoji"/>
                  </mc:Fallback>
                </mc:AlternateContent>
                <w:lang w:val="nb-NO"/>
              </w:rPr>
              <mc:AlternateContent>
                <mc:Choice Requires="w16se">
                  <w16se:symEx w16se:font="Segoe UI Emoji" w16se:char="1F609"/>
                </mc:Choice>
                <mc:Fallback>
                  <w:t>😉</w:t>
                </mc:Fallback>
              </mc:AlternateContent>
            </w:r>
          </w:p>
          <w:p w14:paraId="4B3ECA22" w14:textId="77777777" w:rsidR="0025563B" w:rsidRPr="00B436A7" w:rsidRDefault="0025563B"/>
          <w:p w14:paraId="41FED5EF" w14:textId="7EA7EFEF" w:rsidR="0025563B" w:rsidRPr="0025563B" w:rsidRDefault="0025563B">
            <w:r w:rsidRPr="0025563B">
              <w:t>Kan I ikke skære i</w:t>
            </w:r>
            <w:r>
              <w:t>nd til hovedtekstens vigtigste synspunkter, så falder I!</w:t>
            </w:r>
            <w:r w:rsidR="00B707FA">
              <w:t xml:space="preserve"> </w:t>
            </w:r>
            <w:r w:rsidR="00B707FA" w:rsidRPr="00B707FA">
              <w:rPr>
                <w:b/>
                <w:bCs/>
              </w:rPr>
              <w:t>I skal vise, at I kan læse en tekst og få dens overordnede mening trukket frem.</w:t>
            </w:r>
          </w:p>
          <w:p w14:paraId="58D864CA" w14:textId="77777777" w:rsidR="00B12077" w:rsidRDefault="00B12077"/>
          <w:p w14:paraId="44A516AA" w14:textId="77777777" w:rsidR="00D82D4C" w:rsidRDefault="00D82D4C">
            <w:r>
              <w:t>I skal skære ind til hovedsynspunkterne/de væsentligste synspunkter i redegørelsesdelens materiale. Ikke gengive store dele af/hele teksten.</w:t>
            </w:r>
          </w:p>
          <w:p w14:paraId="59DC4524" w14:textId="77777777" w:rsidR="000B0771" w:rsidRDefault="000B0771"/>
          <w:p w14:paraId="00235027" w14:textId="77777777" w:rsidR="000B0771" w:rsidRDefault="000B0771">
            <w:r>
              <w:t>Vis altid faglig indsigt</w:t>
            </w:r>
            <w:r w:rsidR="00A43ADE">
              <w:t>. ”Film skaber generelt en anden stemning ved hjælp af alle virkemidlerne, hvor man i bogen selv skal tænke sig til en stemning” (</w:t>
            </w:r>
            <w:r w:rsidR="0058118B">
              <w:t>vis faglig indsigt i teksters virkemidler).</w:t>
            </w:r>
          </w:p>
          <w:p w14:paraId="0F7618CF" w14:textId="77777777" w:rsidR="00365A82" w:rsidRDefault="00365A82"/>
          <w:p w14:paraId="59C06179" w14:textId="554CFA14" w:rsidR="00365A82" w:rsidRPr="0025563B" w:rsidRDefault="0080072B">
            <w:r>
              <w:t>”Konklusion” hører ikke hjemme i hverken analyserende eller debatterende artikler.</w:t>
            </w:r>
          </w:p>
        </w:tc>
      </w:tr>
      <w:tr w:rsidR="00B12077" w14:paraId="59C06182" w14:textId="77777777" w:rsidTr="00B12077">
        <w:tc>
          <w:tcPr>
            <w:tcW w:w="2376" w:type="dxa"/>
          </w:tcPr>
          <w:p w14:paraId="59C0617B" w14:textId="77777777" w:rsidR="00B12077" w:rsidRDefault="00B12077">
            <w:r>
              <w:lastRenderedPageBreak/>
              <w:t>Genre/formidling</w:t>
            </w:r>
          </w:p>
        </w:tc>
        <w:tc>
          <w:tcPr>
            <w:tcW w:w="7402" w:type="dxa"/>
          </w:tcPr>
          <w:p w14:paraId="59C0617C" w14:textId="77777777" w:rsidR="00B12077" w:rsidRDefault="00B12077"/>
          <w:p w14:paraId="59C0617D" w14:textId="16C4C7E1" w:rsidR="00B90C8C" w:rsidRDefault="004402F0">
            <w:r>
              <w:t>Husk altid at præsentere inddraget materiale med navn, årstal, medie og forfatter</w:t>
            </w:r>
          </w:p>
          <w:p w14:paraId="59C0617E" w14:textId="77777777" w:rsidR="00B90C8C" w:rsidRDefault="00B90C8C"/>
          <w:p w14:paraId="59C0617F" w14:textId="0E40B09D" w:rsidR="00B90C8C" w:rsidRDefault="007B2BC0">
            <w:r>
              <w:t>Usammenhængende tekst og manglende henvisninger</w:t>
            </w:r>
            <w:r w:rsidR="00377BE5">
              <w:t>/referencer er IKKE formidling!</w:t>
            </w:r>
          </w:p>
          <w:p w14:paraId="59C06180" w14:textId="77777777" w:rsidR="00B12077" w:rsidRDefault="00B12077"/>
          <w:p w14:paraId="59C06181" w14:textId="77777777" w:rsidR="00B12077" w:rsidRDefault="00B12077"/>
        </w:tc>
      </w:tr>
      <w:tr w:rsidR="00B12077" w14:paraId="59C0618A" w14:textId="77777777" w:rsidTr="00B12077">
        <w:tc>
          <w:tcPr>
            <w:tcW w:w="2376" w:type="dxa"/>
          </w:tcPr>
          <w:p w14:paraId="59C06183" w14:textId="77777777" w:rsidR="00B12077" w:rsidRDefault="00B12077">
            <w:r>
              <w:t>Emnebehandling (besvares opgaven)</w:t>
            </w:r>
          </w:p>
        </w:tc>
        <w:tc>
          <w:tcPr>
            <w:tcW w:w="7402" w:type="dxa"/>
          </w:tcPr>
          <w:p w14:paraId="59C06184" w14:textId="77777777" w:rsidR="00B12077" w:rsidRDefault="00B12077"/>
          <w:p w14:paraId="59C06185" w14:textId="6E8D1EDE" w:rsidR="00B90C8C" w:rsidRDefault="00D344FA">
            <w:r>
              <w:t>Arbejder I ikke i de tre genrer, så er opgaven ikke besvaret</w:t>
            </w:r>
          </w:p>
          <w:p w14:paraId="1D9146ED" w14:textId="77777777" w:rsidR="0019345A" w:rsidRDefault="0019345A"/>
          <w:p w14:paraId="56B9BCA0" w14:textId="24C2740D" w:rsidR="0019345A" w:rsidRDefault="0019345A">
            <w:r>
              <w:t>Når der står ”</w:t>
            </w:r>
            <w:r w:rsidR="00C55E8C">
              <w:t>Find selv på en titel”, så skal man selv finde på en titel… jo</w:t>
            </w:r>
            <w:r w:rsidR="00C55E8C">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59C06186" w14:textId="77777777" w:rsidR="00B90C8C" w:rsidRDefault="00B90C8C"/>
          <w:p w14:paraId="59C06187" w14:textId="77777777" w:rsidR="00B90C8C" w:rsidRDefault="00B90C8C"/>
          <w:p w14:paraId="59C06188" w14:textId="77777777" w:rsidR="00B12077" w:rsidRDefault="00B12077"/>
          <w:p w14:paraId="59C06189" w14:textId="77777777" w:rsidR="00B12077" w:rsidRDefault="00B12077"/>
        </w:tc>
      </w:tr>
      <w:tr w:rsidR="00B12077" w14:paraId="59C06192" w14:textId="77777777" w:rsidTr="00B12077">
        <w:tc>
          <w:tcPr>
            <w:tcW w:w="2376" w:type="dxa"/>
          </w:tcPr>
          <w:p w14:paraId="59C0618B" w14:textId="77777777" w:rsidR="00B12077" w:rsidRDefault="00B12077">
            <w:r>
              <w:t>Samlet vurdering</w:t>
            </w:r>
          </w:p>
        </w:tc>
        <w:tc>
          <w:tcPr>
            <w:tcW w:w="7402" w:type="dxa"/>
          </w:tcPr>
          <w:p w14:paraId="59C0618C" w14:textId="77777777" w:rsidR="00B12077" w:rsidRDefault="00B12077"/>
          <w:p w14:paraId="59C0618D" w14:textId="77777777" w:rsidR="00B90C8C" w:rsidRDefault="00B90C8C"/>
          <w:p w14:paraId="59C0618E" w14:textId="77777777" w:rsidR="00B90C8C" w:rsidRDefault="00B90C8C"/>
          <w:p w14:paraId="59C0618F" w14:textId="77777777" w:rsidR="00B90C8C" w:rsidRDefault="00B90C8C"/>
          <w:p w14:paraId="59C06190" w14:textId="77777777" w:rsidR="00B12077" w:rsidRDefault="00B12077"/>
          <w:p w14:paraId="59C06191" w14:textId="77777777" w:rsidR="00B12077" w:rsidRDefault="00B12077"/>
        </w:tc>
      </w:tr>
    </w:tbl>
    <w:p w14:paraId="59C06193" w14:textId="77777777" w:rsidR="0054628A" w:rsidRDefault="0054628A" w:rsidP="00B12077">
      <w:pPr>
        <w:jc w:val="center"/>
        <w:rPr>
          <w:b/>
          <w:color w:val="984806" w:themeColor="accent6" w:themeShade="80"/>
          <w:sz w:val="32"/>
          <w:szCs w:val="32"/>
        </w:rPr>
      </w:pPr>
    </w:p>
    <w:p w14:paraId="1A684864" w14:textId="3084BF06" w:rsidR="00D774A3" w:rsidRPr="00F23BC5" w:rsidRDefault="00EC34C2" w:rsidP="00EC34C2">
      <w:pPr>
        <w:rPr>
          <w:b/>
          <w:color w:val="984806" w:themeColor="accent6" w:themeShade="80"/>
          <w:sz w:val="28"/>
          <w:szCs w:val="28"/>
        </w:rPr>
      </w:pPr>
      <w:r w:rsidRPr="00F23BC5">
        <w:rPr>
          <w:b/>
          <w:color w:val="984806" w:themeColor="accent6" w:themeShade="80"/>
          <w:sz w:val="28"/>
          <w:szCs w:val="28"/>
        </w:rPr>
        <w:t>Eksempel på indledning</w:t>
      </w:r>
    </w:p>
    <w:p w14:paraId="2950B467" w14:textId="77777777" w:rsidR="00F23BC5" w:rsidRPr="00A3730F" w:rsidRDefault="00F23BC5" w:rsidP="00F23BC5">
      <w:pPr>
        <w:rPr>
          <w:sz w:val="24"/>
          <w:szCs w:val="24"/>
        </w:rPr>
      </w:pPr>
      <w:r w:rsidRPr="00A3730F">
        <w:rPr>
          <w:sz w:val="24"/>
          <w:szCs w:val="24"/>
        </w:rPr>
        <w:t>Alle kender det. Man har læst en vanvittig bog, og filmatiseringen er endelig udkommet. Man sidder ved familiebordet, og diskussionen starter: hvad er bedst? bogen eller filmen? Mormor kan bedst lide bogen, fordi mange af bogens nuancer er blevet skæret fra eller omformet. På den anden side af bordet sidder onkel Tom, som er kæmpe fan af filmen, fordi han får sat billeder på historien. Men hvem har ret? og forbliver historien overhovedet den samme?</w:t>
      </w:r>
    </w:p>
    <w:p w14:paraId="18258CAA" w14:textId="77777777" w:rsidR="00F23BC5" w:rsidRPr="00245590" w:rsidRDefault="00F23BC5" w:rsidP="00F23BC5">
      <w:pPr>
        <w:rPr>
          <w:sz w:val="24"/>
          <w:szCs w:val="24"/>
        </w:rPr>
      </w:pPr>
      <w:r w:rsidRPr="00A3730F">
        <w:rPr>
          <w:sz w:val="24"/>
          <w:szCs w:val="24"/>
        </w:rPr>
        <w:t>S</w:t>
      </w:r>
      <w:r w:rsidRPr="00245590">
        <w:rPr>
          <w:sz w:val="24"/>
          <w:szCs w:val="24"/>
        </w:rPr>
        <w:t>pørgsmål</w:t>
      </w:r>
      <w:r w:rsidRPr="00A3730F">
        <w:rPr>
          <w:sz w:val="24"/>
          <w:szCs w:val="24"/>
        </w:rPr>
        <w:t>et</w:t>
      </w:r>
      <w:r w:rsidRPr="00245590">
        <w:rPr>
          <w:sz w:val="24"/>
          <w:szCs w:val="24"/>
        </w:rPr>
        <w:t xml:space="preserve"> har været g</w:t>
      </w:r>
      <w:r w:rsidRPr="00A3730F">
        <w:rPr>
          <w:sz w:val="24"/>
          <w:szCs w:val="24"/>
        </w:rPr>
        <w:t>rundlag</w:t>
      </w:r>
      <w:r w:rsidRPr="00245590">
        <w:rPr>
          <w:sz w:val="24"/>
          <w:szCs w:val="24"/>
        </w:rPr>
        <w:t xml:space="preserve"> for </w:t>
      </w:r>
      <w:r w:rsidRPr="00A3730F">
        <w:rPr>
          <w:sz w:val="24"/>
          <w:szCs w:val="24"/>
        </w:rPr>
        <w:t xml:space="preserve">mange </w:t>
      </w:r>
      <w:r w:rsidRPr="00245590">
        <w:rPr>
          <w:sz w:val="24"/>
          <w:szCs w:val="24"/>
        </w:rPr>
        <w:t>debat</w:t>
      </w:r>
      <w:r w:rsidRPr="00A3730F">
        <w:rPr>
          <w:sz w:val="24"/>
          <w:szCs w:val="24"/>
        </w:rPr>
        <w:t>ter</w:t>
      </w:r>
      <w:r w:rsidRPr="00245590">
        <w:rPr>
          <w:sz w:val="24"/>
          <w:szCs w:val="24"/>
        </w:rPr>
        <w:t xml:space="preserve">, når tekster bliver iscenesat i en ny form. Især Ib Kjeldsmark problematiserer dette i sin klumme "Bogen og filmen", hvor han kritiserer filmens </w:t>
      </w:r>
      <w:r w:rsidRPr="00245590">
        <w:rPr>
          <w:sz w:val="24"/>
          <w:szCs w:val="24"/>
        </w:rPr>
        <w:lastRenderedPageBreak/>
        <w:t>tendens til at omdanne litterære værker til simplere fortællinger. Men filmatiseringer kan også bringe en ny dimension til historier, hvilket Henriette Stisen påpeger i sin artikel</w:t>
      </w:r>
      <w:r w:rsidRPr="00A3730F">
        <w:rPr>
          <w:sz w:val="24"/>
          <w:szCs w:val="24"/>
        </w:rPr>
        <w:t xml:space="preserve"> ” Hvornår er der nogen, der laver en filmatisering af de her bøger, der skriger på en film?”</w:t>
      </w:r>
    </w:p>
    <w:p w14:paraId="1070AF08" w14:textId="77777777" w:rsidR="00EC34C2" w:rsidRPr="00EC34C2" w:rsidRDefault="00EC34C2" w:rsidP="00EC34C2">
      <w:pPr>
        <w:rPr>
          <w:b/>
          <w:color w:val="984806" w:themeColor="accent6" w:themeShade="80"/>
          <w:sz w:val="20"/>
          <w:szCs w:val="20"/>
        </w:rPr>
      </w:pPr>
    </w:p>
    <w:p w14:paraId="59C061B7" w14:textId="77777777" w:rsidR="00B12077" w:rsidRDefault="00B12077"/>
    <w:sectPr w:rsidR="00B1207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77"/>
    <w:rsid w:val="000905D0"/>
    <w:rsid w:val="000B0771"/>
    <w:rsid w:val="000B2960"/>
    <w:rsid w:val="000B5036"/>
    <w:rsid w:val="000C6B1B"/>
    <w:rsid w:val="00112A26"/>
    <w:rsid w:val="00121A84"/>
    <w:rsid w:val="00185F67"/>
    <w:rsid w:val="0019345A"/>
    <w:rsid w:val="001B17D6"/>
    <w:rsid w:val="001B3D45"/>
    <w:rsid w:val="001C38E0"/>
    <w:rsid w:val="001C5923"/>
    <w:rsid w:val="00212B05"/>
    <w:rsid w:val="00231927"/>
    <w:rsid w:val="0025563B"/>
    <w:rsid w:val="002A7A12"/>
    <w:rsid w:val="002E3C9A"/>
    <w:rsid w:val="002F6405"/>
    <w:rsid w:val="003405DD"/>
    <w:rsid w:val="00365A82"/>
    <w:rsid w:val="0036771C"/>
    <w:rsid w:val="00377BE5"/>
    <w:rsid w:val="003B370E"/>
    <w:rsid w:val="003D33D0"/>
    <w:rsid w:val="004402F0"/>
    <w:rsid w:val="0047364B"/>
    <w:rsid w:val="00477008"/>
    <w:rsid w:val="004843D6"/>
    <w:rsid w:val="00490013"/>
    <w:rsid w:val="004B20C8"/>
    <w:rsid w:val="004E3FE6"/>
    <w:rsid w:val="004F3639"/>
    <w:rsid w:val="004F691A"/>
    <w:rsid w:val="0054628A"/>
    <w:rsid w:val="00554BCA"/>
    <w:rsid w:val="0058118B"/>
    <w:rsid w:val="00595216"/>
    <w:rsid w:val="00596046"/>
    <w:rsid w:val="005F26ED"/>
    <w:rsid w:val="00676FBC"/>
    <w:rsid w:val="006C3E51"/>
    <w:rsid w:val="007022A8"/>
    <w:rsid w:val="007147B2"/>
    <w:rsid w:val="00746428"/>
    <w:rsid w:val="00780D07"/>
    <w:rsid w:val="007B2BC0"/>
    <w:rsid w:val="0080072B"/>
    <w:rsid w:val="008633E8"/>
    <w:rsid w:val="00874EF2"/>
    <w:rsid w:val="00926C66"/>
    <w:rsid w:val="00940AF3"/>
    <w:rsid w:val="00A26DCE"/>
    <w:rsid w:val="00A43ADE"/>
    <w:rsid w:val="00A752DD"/>
    <w:rsid w:val="00AB71E9"/>
    <w:rsid w:val="00B12077"/>
    <w:rsid w:val="00B258F9"/>
    <w:rsid w:val="00B27164"/>
    <w:rsid w:val="00B436A7"/>
    <w:rsid w:val="00B60077"/>
    <w:rsid w:val="00B707FA"/>
    <w:rsid w:val="00B80AC7"/>
    <w:rsid w:val="00B90C8C"/>
    <w:rsid w:val="00BB4226"/>
    <w:rsid w:val="00C32409"/>
    <w:rsid w:val="00C342B2"/>
    <w:rsid w:val="00C44534"/>
    <w:rsid w:val="00C55E8C"/>
    <w:rsid w:val="00C71203"/>
    <w:rsid w:val="00CB20FC"/>
    <w:rsid w:val="00CE40AD"/>
    <w:rsid w:val="00CE44DB"/>
    <w:rsid w:val="00D32DC0"/>
    <w:rsid w:val="00D344FA"/>
    <w:rsid w:val="00D774A3"/>
    <w:rsid w:val="00D82D4C"/>
    <w:rsid w:val="00E22030"/>
    <w:rsid w:val="00E95454"/>
    <w:rsid w:val="00EC34C2"/>
    <w:rsid w:val="00EE5F5A"/>
    <w:rsid w:val="00F07708"/>
    <w:rsid w:val="00F23BC5"/>
    <w:rsid w:val="00F641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6161"/>
  <w15:docId w15:val="{798D868F-F6D8-42B3-9CBE-98DD9A33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B12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470</Words>
  <Characters>2873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dc:creator>
  <cp:lastModifiedBy>Lisbeth Vejlgaard Sørensen</cp:lastModifiedBy>
  <cp:revision>53</cp:revision>
  <dcterms:created xsi:type="dcterms:W3CDTF">2025-03-25T09:20:00Z</dcterms:created>
  <dcterms:modified xsi:type="dcterms:W3CDTF">2025-03-27T09:37:00Z</dcterms:modified>
</cp:coreProperties>
</file>