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82EA9" w14:textId="5AD64117" w:rsidR="00332794" w:rsidRDefault="00332794" w:rsidP="00332794">
      <w:pPr>
        <w:jc w:val="center"/>
        <w:rPr>
          <w:b/>
          <w:color w:val="943634" w:themeColor="accent2" w:themeShade="BF"/>
          <w:sz w:val="28"/>
          <w:szCs w:val="28"/>
        </w:rPr>
      </w:pPr>
      <w:r>
        <w:rPr>
          <w:b/>
          <w:color w:val="943634" w:themeColor="accent2" w:themeShade="BF"/>
          <w:sz w:val="28"/>
          <w:szCs w:val="28"/>
        </w:rPr>
        <w:t>Analyse</w:t>
      </w:r>
      <w:r w:rsidRPr="00F41762">
        <w:rPr>
          <w:b/>
          <w:color w:val="943634" w:themeColor="accent2" w:themeShade="BF"/>
          <w:sz w:val="28"/>
          <w:szCs w:val="28"/>
        </w:rPr>
        <w:t xml:space="preserve">rende artikel </w:t>
      </w:r>
    </w:p>
    <w:p w14:paraId="4B182EAA" w14:textId="51F2D224" w:rsidR="00D87B24" w:rsidRPr="00F41762" w:rsidRDefault="00B374AD" w:rsidP="00D87B24">
      <w:pPr>
        <w:jc w:val="center"/>
        <w:rPr>
          <w:b/>
          <w:color w:val="943634" w:themeColor="accent2" w:themeShade="BF"/>
          <w:sz w:val="28"/>
          <w:szCs w:val="28"/>
        </w:rPr>
      </w:pPr>
      <w:r>
        <w:rPr>
          <w:b/>
          <w:color w:val="943634" w:themeColor="accent2" w:themeShade="BF"/>
          <w:sz w:val="28"/>
          <w:szCs w:val="28"/>
        </w:rPr>
        <w:t>”</w:t>
      </w:r>
      <w:r w:rsidR="00E25B15">
        <w:rPr>
          <w:b/>
          <w:color w:val="943634" w:themeColor="accent2" w:themeShade="BF"/>
          <w:sz w:val="28"/>
          <w:szCs w:val="28"/>
        </w:rPr>
        <w:t xml:space="preserve">Religionssyn i </w:t>
      </w:r>
      <w:r w:rsidR="00E25B15">
        <w:rPr>
          <w:b/>
          <w:i/>
          <w:iCs/>
          <w:color w:val="943634" w:themeColor="accent2" w:themeShade="BF"/>
          <w:sz w:val="28"/>
          <w:szCs w:val="28"/>
        </w:rPr>
        <w:t>Fiskerne</w:t>
      </w:r>
      <w:r>
        <w:rPr>
          <w:b/>
          <w:color w:val="943634" w:themeColor="accent2" w:themeShade="BF"/>
          <w:sz w:val="28"/>
          <w:szCs w:val="28"/>
        </w:rPr>
        <w:t>”</w:t>
      </w:r>
    </w:p>
    <w:p w14:paraId="4B182EAB" w14:textId="79A86041" w:rsidR="00332794" w:rsidRDefault="00E25B15" w:rsidP="00332794">
      <w:pPr>
        <w:rPr>
          <w:b/>
          <w:sz w:val="24"/>
          <w:szCs w:val="24"/>
        </w:rPr>
      </w:pPr>
      <w:r>
        <w:rPr>
          <w:b/>
          <w:sz w:val="24"/>
          <w:szCs w:val="24"/>
        </w:rPr>
        <w:t>Fælles retteark</w:t>
      </w:r>
      <w:r w:rsidR="00070CD2">
        <w:rPr>
          <w:b/>
          <w:sz w:val="24"/>
          <w:szCs w:val="24"/>
        </w:rPr>
        <w:t xml:space="preserve"> </w:t>
      </w:r>
      <w:r>
        <w:rPr>
          <w:b/>
          <w:sz w:val="24"/>
          <w:szCs w:val="24"/>
        </w:rPr>
        <w:t>2z</w:t>
      </w:r>
    </w:p>
    <w:tbl>
      <w:tblPr>
        <w:tblStyle w:val="Tabel-Gitter"/>
        <w:tblW w:w="0" w:type="auto"/>
        <w:tblLook w:val="04A0" w:firstRow="1" w:lastRow="0" w:firstColumn="1" w:lastColumn="0" w:noHBand="0" w:noVBand="1"/>
      </w:tblPr>
      <w:tblGrid>
        <w:gridCol w:w="2361"/>
        <w:gridCol w:w="7267"/>
      </w:tblGrid>
      <w:tr w:rsidR="00332794" w:rsidRPr="001E4FB3" w14:paraId="4B182EB3" w14:textId="77777777" w:rsidTr="00594762">
        <w:tc>
          <w:tcPr>
            <w:tcW w:w="2376" w:type="dxa"/>
          </w:tcPr>
          <w:p w14:paraId="4B182EAC" w14:textId="77777777" w:rsidR="00332794" w:rsidRDefault="00332794" w:rsidP="00594762">
            <w:r>
              <w:t>Sprog</w:t>
            </w:r>
          </w:p>
        </w:tc>
        <w:tc>
          <w:tcPr>
            <w:tcW w:w="7402" w:type="dxa"/>
          </w:tcPr>
          <w:p w14:paraId="131CF470" w14:textId="77777777" w:rsidR="00332794" w:rsidRPr="00D26947" w:rsidRDefault="00332794" w:rsidP="00594762">
            <w:pPr>
              <w:rPr>
                <w:lang w:val="nb-NO"/>
              </w:rPr>
            </w:pPr>
          </w:p>
          <w:p w14:paraId="46C8321F" w14:textId="6C3BFEE3" w:rsidR="00533134" w:rsidRDefault="00CC4A06" w:rsidP="00594762">
            <w:pPr>
              <w:rPr>
                <w:lang w:val="nb-NO"/>
              </w:rPr>
            </w:pPr>
            <w:r w:rsidRPr="00D26947">
              <w:rPr>
                <w:lang w:val="nb-NO"/>
              </w:rPr>
              <w:t>Grundtvigiansk</w:t>
            </w:r>
            <w:r w:rsidR="00D26947">
              <w:rPr>
                <w:lang w:val="nb-NO"/>
              </w:rPr>
              <w:t>, ikke grundtvigsk</w:t>
            </w:r>
            <w:r w:rsidRPr="00D26947">
              <w:rPr>
                <w:lang w:val="nb-NO"/>
              </w:rPr>
              <w:t xml:space="preserve"> (</w:t>
            </w:r>
            <w:r w:rsidR="00D26947" w:rsidRPr="00D26947">
              <w:rPr>
                <w:lang w:val="nb-NO"/>
              </w:rPr>
              <w:t>når det handler o</w:t>
            </w:r>
            <w:r w:rsidR="00D26947">
              <w:rPr>
                <w:lang w:val="nb-NO"/>
              </w:rPr>
              <w:t>m trosretningen)</w:t>
            </w:r>
          </w:p>
          <w:p w14:paraId="59BAE90C" w14:textId="77777777" w:rsidR="001E4FB3" w:rsidRDefault="001E4FB3" w:rsidP="00594762">
            <w:pPr>
              <w:rPr>
                <w:lang w:val="nb-NO"/>
              </w:rPr>
            </w:pPr>
          </w:p>
          <w:p w14:paraId="69264347" w14:textId="4C182714" w:rsidR="001E4FB3" w:rsidRDefault="001E4FB3" w:rsidP="00594762">
            <w:r w:rsidRPr="001E4FB3">
              <w:t xml:space="preserve">Referer altid i nutid </w:t>
            </w:r>
            <w:r w:rsidRPr="001E4FB3">
              <w:rPr>
                <w:strike/>
              </w:rPr>
              <w:t>(”i begyndelsen følte Tea sig ikke hjemme</w:t>
            </w:r>
            <w:r>
              <w:t>”)</w:t>
            </w:r>
          </w:p>
          <w:p w14:paraId="5C584402" w14:textId="77777777" w:rsidR="009234BF" w:rsidRDefault="009234BF" w:rsidP="00594762"/>
          <w:p w14:paraId="4E83EB01" w14:textId="6D417D27" w:rsidR="009234BF" w:rsidRDefault="009234BF" w:rsidP="00594762">
            <w:r>
              <w:t>Kollektivroman (ikke Kirks kollektive roman… hvad betyder det egentlig?;)</w:t>
            </w:r>
          </w:p>
          <w:p w14:paraId="335BAA19" w14:textId="77777777" w:rsidR="004B3621" w:rsidRDefault="004B3621" w:rsidP="00594762"/>
          <w:p w14:paraId="3BFA04A4" w14:textId="58B3791C" w:rsidR="004B3621" w:rsidRPr="001E4FB3" w:rsidRDefault="004B3621" w:rsidP="00594762">
            <w:r>
              <w:t>Indremission; ikke indre mission</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4B182EB2" w14:textId="2EF143D2" w:rsidR="00533134" w:rsidRPr="001E4FB3" w:rsidRDefault="00533134" w:rsidP="00594762"/>
        </w:tc>
      </w:tr>
      <w:tr w:rsidR="00332794" w14:paraId="4B182EBB" w14:textId="77777777" w:rsidTr="00594762">
        <w:tc>
          <w:tcPr>
            <w:tcW w:w="2376" w:type="dxa"/>
          </w:tcPr>
          <w:p w14:paraId="4B182EB4" w14:textId="77777777" w:rsidR="00332794" w:rsidRDefault="00332794" w:rsidP="00594762">
            <w:r>
              <w:t>Struktur</w:t>
            </w:r>
          </w:p>
        </w:tc>
        <w:tc>
          <w:tcPr>
            <w:tcW w:w="7402" w:type="dxa"/>
          </w:tcPr>
          <w:p w14:paraId="39DA5F89" w14:textId="77777777" w:rsidR="00332794" w:rsidRDefault="00332794" w:rsidP="00594762"/>
          <w:p w14:paraId="71AF15EB" w14:textId="0C8EC644" w:rsidR="00533134" w:rsidRDefault="00601E16" w:rsidP="00594762">
            <w:r>
              <w:t>Vis gerne analytisk fokus i indledning; se eks nedenfor</w:t>
            </w:r>
          </w:p>
          <w:p w14:paraId="4B182EBA" w14:textId="77777777" w:rsidR="00533134" w:rsidRDefault="00533134" w:rsidP="00594762"/>
        </w:tc>
      </w:tr>
      <w:tr w:rsidR="00332794" w14:paraId="4B182EC3" w14:textId="77777777" w:rsidTr="00594762">
        <w:tc>
          <w:tcPr>
            <w:tcW w:w="2376" w:type="dxa"/>
          </w:tcPr>
          <w:p w14:paraId="4B182EBC" w14:textId="77777777" w:rsidR="00332794" w:rsidRDefault="00332794" w:rsidP="00594762">
            <w:r>
              <w:t>Faglighed</w:t>
            </w:r>
          </w:p>
        </w:tc>
        <w:tc>
          <w:tcPr>
            <w:tcW w:w="7402" w:type="dxa"/>
          </w:tcPr>
          <w:p w14:paraId="50065C66" w14:textId="77777777" w:rsidR="00332794" w:rsidRDefault="00332794" w:rsidP="00594762"/>
          <w:p w14:paraId="15EB6217" w14:textId="6E43C4DD" w:rsidR="001D4245" w:rsidRPr="000D6CB4" w:rsidRDefault="001D4245" w:rsidP="00594762">
            <w:r>
              <w:t xml:space="preserve">Referér altid helt præcist (Tabita bliver ikke ansat på en </w:t>
            </w:r>
            <w:r w:rsidR="000D6CB4">
              <w:t>maufaktur-</w:t>
            </w:r>
            <w:r w:rsidR="000D6CB4">
              <w:rPr>
                <w:b/>
                <w:bCs/>
              </w:rPr>
              <w:t>fabrik</w:t>
            </w:r>
            <w:r w:rsidR="000D6CB4">
              <w:t>)</w:t>
            </w:r>
          </w:p>
          <w:p w14:paraId="4C385A8B" w14:textId="77777777" w:rsidR="00533134" w:rsidRDefault="00533134" w:rsidP="00594762"/>
          <w:p w14:paraId="69046BC1" w14:textId="0EE5679B" w:rsidR="00174C0C" w:rsidRDefault="00174C0C" w:rsidP="00594762">
            <w:r>
              <w:t xml:space="preserve">Modernisme </w:t>
            </w:r>
            <w:r w:rsidR="0008677E">
              <w:t>har et fokus på form (</w:t>
            </w:r>
            <w:r w:rsidR="0008677E" w:rsidRPr="007D10AC">
              <w:rPr>
                <w:color w:val="FF0000"/>
              </w:rPr>
              <w:t xml:space="preserve">kunstneriske eksperiment </w:t>
            </w:r>
            <w:r w:rsidR="0008677E" w:rsidRPr="0008677E">
              <w:t>med og imod traditionen</w:t>
            </w:r>
            <w:r w:rsidR="007D10AC">
              <w:t>)</w:t>
            </w:r>
            <w:r>
              <w:t>&gt;&lt; realisme</w:t>
            </w:r>
            <w:r w:rsidR="007D10AC">
              <w:t xml:space="preserve"> (socialrealisme). Der er eksistentialistiske træk i </w:t>
            </w:r>
            <w:r w:rsidR="007D10AC">
              <w:rPr>
                <w:i/>
                <w:iCs/>
              </w:rPr>
              <w:t>Fiskerne</w:t>
            </w:r>
            <w:r w:rsidR="007D10AC">
              <w:t>, og dét peger mod modernismen… slutningen gør også (skyen).</w:t>
            </w:r>
          </w:p>
          <w:p w14:paraId="180AD07E" w14:textId="785D5223" w:rsidR="002B2432" w:rsidRDefault="00C13AD9" w:rsidP="002B2432">
            <w:pPr>
              <w:jc w:val="right"/>
            </w:pPr>
            <w:r>
              <w:t>”</w:t>
            </w:r>
            <w:r w:rsidRPr="00C13AD9">
              <w:rPr>
                <w:rFonts w:ascii="Times New Roman" w:eastAsia="Times New Roman" w:hAnsi="Times New Roman" w:cs="Times New Roman"/>
                <w:color w:val="000000"/>
                <w:lang w:eastAsia="da-DK"/>
              </w:rPr>
              <w:t xml:space="preserve"> </w:t>
            </w:r>
            <w:r w:rsidRPr="00C13AD9">
              <w:t>Fiskerne passer derfor godt ind i den litterære periode modernismen, hvor der var stort fokus på mennesket og dets individuelle valg samt på at bryde traditioner og normer.</w:t>
            </w:r>
            <w:r>
              <w:t>”</w:t>
            </w:r>
          </w:p>
          <w:p w14:paraId="6C2053B5" w14:textId="77777777" w:rsidR="002B0B7E" w:rsidRDefault="002B0B7E" w:rsidP="002B2432">
            <w:pPr>
              <w:jc w:val="right"/>
            </w:pPr>
          </w:p>
          <w:p w14:paraId="1D6E7219" w14:textId="0BDA9663" w:rsidR="002B0B7E" w:rsidRPr="002B0B7E" w:rsidRDefault="002B0B7E" w:rsidP="002B0B7E">
            <w:r>
              <w:rPr>
                <w:strike/>
              </w:rPr>
              <w:t>Konklusion</w:t>
            </w:r>
            <w:r>
              <w:t xml:space="preserve"> Vi kan fortolke og perspektivere; indlæse betydning og hensigt.</w:t>
            </w:r>
          </w:p>
          <w:p w14:paraId="4B182EC2" w14:textId="77777777" w:rsidR="00533134" w:rsidRDefault="00533134" w:rsidP="00594762"/>
        </w:tc>
      </w:tr>
      <w:tr w:rsidR="00332794" w14:paraId="4B182ECB" w14:textId="77777777" w:rsidTr="00594762">
        <w:tc>
          <w:tcPr>
            <w:tcW w:w="2376" w:type="dxa"/>
          </w:tcPr>
          <w:p w14:paraId="4B182EC4" w14:textId="77777777" w:rsidR="00332794" w:rsidRDefault="00332794" w:rsidP="00594762">
            <w:r>
              <w:t>Genre/formidling</w:t>
            </w:r>
          </w:p>
        </w:tc>
        <w:tc>
          <w:tcPr>
            <w:tcW w:w="7402" w:type="dxa"/>
          </w:tcPr>
          <w:p w14:paraId="1110DB71" w14:textId="77777777" w:rsidR="00332794" w:rsidRDefault="00332794" w:rsidP="00594762"/>
          <w:p w14:paraId="16DC053A" w14:textId="7D0A5ABB" w:rsidR="00533134" w:rsidRDefault="003B24EA" w:rsidP="00594762">
            <w:r>
              <w:t>Velfungerende henvisning: ”</w:t>
            </w:r>
            <w:r w:rsidRPr="003B24EA">
              <w:rPr>
                <w:lang w:eastAsia="da-DK"/>
              </w:rPr>
              <w:t xml:space="preserve"> </w:t>
            </w:r>
            <w:r w:rsidRPr="003B24EA">
              <w:t>Mariane er mere frisindet i sin væremåde, og hun griner endda af "alvorlige ting" (s. 20).</w:t>
            </w:r>
            <w:r>
              <w:t>”</w:t>
            </w:r>
          </w:p>
          <w:p w14:paraId="3B66C6A3" w14:textId="234013F3" w:rsidR="009D76C6" w:rsidRDefault="009D76C6" w:rsidP="00594762">
            <w:r>
              <w:t>Fungerer selvfølgelig også: ”(…)</w:t>
            </w:r>
            <w:r w:rsidRPr="009D76C6">
              <w:rPr>
                <w:rFonts w:ascii="Times New Roman" w:hAnsi="Times New Roman" w:cs="Times New Roman"/>
                <w:color w:val="000000" w:themeColor="text1"/>
              </w:rPr>
              <w:t xml:space="preserve"> </w:t>
            </w:r>
            <w:r w:rsidRPr="009D76C6">
              <w:t>sagde hun, men æ tykkes, De skal være retfærdig!” (Kirk 1928, s. 249).</w:t>
            </w:r>
            <w:r>
              <w:t>”</w:t>
            </w:r>
          </w:p>
          <w:p w14:paraId="0F31449A" w14:textId="77777777" w:rsidR="00533134" w:rsidRDefault="00533134" w:rsidP="00594762"/>
          <w:p w14:paraId="5871B409" w14:textId="15D55F4A" w:rsidR="0007397C" w:rsidRDefault="0007397C" w:rsidP="00594762">
            <w:r>
              <w:t>Husk kolon før et citat</w:t>
            </w:r>
            <w:r w:rsidR="00CA0A3D">
              <w:t xml:space="preserve">: </w:t>
            </w:r>
          </w:p>
          <w:p w14:paraId="59E49095" w14:textId="3D982FEC" w:rsidR="009B6A31" w:rsidRDefault="009B6A31" w:rsidP="00594762">
            <w:r w:rsidRPr="009B6A31">
              <w:t xml:space="preserve">Dette ses blandt andet i hendes valg om at klippe </w:t>
            </w:r>
            <w:r w:rsidRPr="009B6A31">
              <w:rPr>
                <w:shd w:val="clear" w:color="auto" w:fill="DDD9C3" w:themeFill="background2" w:themeFillShade="E6"/>
              </w:rPr>
              <w:t>sit hår</w:t>
            </w:r>
            <w:r w:rsidRPr="009B6A31">
              <w:rPr>
                <w:color w:val="FF0000"/>
                <w:shd w:val="clear" w:color="auto" w:fill="DDD9C3" w:themeFill="background2" w:themeFillShade="E6"/>
              </w:rPr>
              <w:t xml:space="preserve">. </w:t>
            </w:r>
            <w:r w:rsidRPr="009B6A31">
              <w:rPr>
                <w:shd w:val="clear" w:color="auto" w:fill="DDD9C3" w:themeFill="background2" w:themeFillShade="E6"/>
              </w:rPr>
              <w:t>"Tabita</w:t>
            </w:r>
            <w:r w:rsidRPr="009B6A31">
              <w:t xml:space="preserve">, der skulle have gået til præst i vinter, bliver grebet af hovmod og klippede sit hår” (Kirk, s. 105 l. 37-38). </w:t>
            </w:r>
          </w:p>
          <w:p w14:paraId="698297C8" w14:textId="77777777" w:rsidR="009B6A31" w:rsidRDefault="009B6A31" w:rsidP="00594762"/>
          <w:p w14:paraId="4B182ECA" w14:textId="7B32B2ED" w:rsidR="006F0FCF" w:rsidRPr="008D7350" w:rsidRDefault="006F0FCF" w:rsidP="00594762">
            <w:pPr>
              <w:rPr>
                <w:i/>
                <w:iCs/>
              </w:rPr>
            </w:pPr>
            <w:r>
              <w:t>Præsentér tilstrækkeligt</w:t>
            </w:r>
            <w:r w:rsidR="008D7350">
              <w:t xml:space="preserve">; husk, at læser ikke kender </w:t>
            </w:r>
            <w:r w:rsidR="008D7350">
              <w:rPr>
                <w:i/>
                <w:iCs/>
              </w:rPr>
              <w:t>Fiskerne</w:t>
            </w:r>
            <w:r w:rsidR="008D7350">
              <w:t xml:space="preserve">. Går I direkte fra titel til at fortælle om Tabita, så tror læser, </w:t>
            </w:r>
            <w:r w:rsidR="008D7350">
              <w:rPr>
                <w:i/>
                <w:iCs/>
              </w:rPr>
              <w:t>Fiskerne</w:t>
            </w:r>
            <w:r w:rsidR="008D7350">
              <w:t xml:space="preserve"> handler om hende…</w:t>
            </w:r>
            <w:r w:rsidR="008D7350">
              <w:rPr>
                <w:i/>
                <w:iCs/>
              </w:rPr>
              <w:t xml:space="preserve"> </w:t>
            </w:r>
          </w:p>
        </w:tc>
      </w:tr>
      <w:tr w:rsidR="00332794" w14:paraId="4B182ED3" w14:textId="77777777" w:rsidTr="00594762">
        <w:tc>
          <w:tcPr>
            <w:tcW w:w="2376" w:type="dxa"/>
          </w:tcPr>
          <w:p w14:paraId="4B182ECC" w14:textId="77777777" w:rsidR="00332794" w:rsidRDefault="00332794" w:rsidP="00594762">
            <w:r>
              <w:t>Emnebehandling (besvares opgaven)</w:t>
            </w:r>
          </w:p>
        </w:tc>
        <w:tc>
          <w:tcPr>
            <w:tcW w:w="7402" w:type="dxa"/>
          </w:tcPr>
          <w:p w14:paraId="3F57C931" w14:textId="77777777" w:rsidR="00332794" w:rsidRDefault="00332794" w:rsidP="00594762"/>
          <w:p w14:paraId="71F0B04F" w14:textId="77777777" w:rsidR="00533134" w:rsidRDefault="00533134" w:rsidP="00594762"/>
          <w:p w14:paraId="4B182ED2" w14:textId="77777777" w:rsidR="00533134" w:rsidRDefault="00533134" w:rsidP="00594762"/>
        </w:tc>
      </w:tr>
      <w:tr w:rsidR="00332794" w14:paraId="4B182EDB" w14:textId="77777777" w:rsidTr="00594762">
        <w:tc>
          <w:tcPr>
            <w:tcW w:w="2376" w:type="dxa"/>
          </w:tcPr>
          <w:p w14:paraId="4B182ED4" w14:textId="77777777" w:rsidR="00332794" w:rsidRDefault="00332794" w:rsidP="00594762">
            <w:r>
              <w:t>Samlet vurdering</w:t>
            </w:r>
          </w:p>
        </w:tc>
        <w:tc>
          <w:tcPr>
            <w:tcW w:w="7402" w:type="dxa"/>
          </w:tcPr>
          <w:p w14:paraId="19F4C854" w14:textId="77777777" w:rsidR="00332794" w:rsidRDefault="00332794" w:rsidP="00594762"/>
          <w:p w14:paraId="04849549" w14:textId="77777777" w:rsidR="00533134" w:rsidRDefault="00533134" w:rsidP="00594762"/>
          <w:p w14:paraId="4B182EDA" w14:textId="77777777" w:rsidR="00533134" w:rsidRDefault="00533134" w:rsidP="00594762"/>
        </w:tc>
      </w:tr>
    </w:tbl>
    <w:p w14:paraId="4B182EDF" w14:textId="77777777" w:rsidR="00332794" w:rsidRDefault="00332794" w:rsidP="00332794">
      <w:pPr>
        <w:rPr>
          <w:b/>
          <w:sz w:val="24"/>
          <w:szCs w:val="24"/>
        </w:rPr>
      </w:pPr>
    </w:p>
    <w:p w14:paraId="3A1718D9" w14:textId="40F91449" w:rsidR="00E057B1" w:rsidRDefault="005049CB" w:rsidP="00332794">
      <w:pPr>
        <w:rPr>
          <w:b/>
          <w:sz w:val="24"/>
          <w:szCs w:val="24"/>
        </w:rPr>
      </w:pPr>
      <w:r>
        <w:rPr>
          <w:b/>
          <w:sz w:val="24"/>
          <w:szCs w:val="24"/>
        </w:rPr>
        <w:t>Eksempel på analytisk fokuseret indledning</w:t>
      </w:r>
    </w:p>
    <w:p w14:paraId="4F178C94" w14:textId="32341114" w:rsidR="005049CB" w:rsidRPr="005049CB" w:rsidRDefault="005049CB" w:rsidP="005049CB">
      <w:pPr>
        <w:rPr>
          <w:bCs/>
          <w:sz w:val="24"/>
          <w:szCs w:val="24"/>
        </w:rPr>
      </w:pPr>
      <w:r>
        <w:rPr>
          <w:bCs/>
          <w:sz w:val="24"/>
          <w:szCs w:val="24"/>
        </w:rPr>
        <w:t>”</w:t>
      </w:r>
      <w:r w:rsidRPr="005049CB">
        <w:rPr>
          <w:bCs/>
          <w:sz w:val="24"/>
          <w:szCs w:val="24"/>
        </w:rPr>
        <w:t>Tusindvis af mennesker over hele verden har en eller anden form for religiøs overbevisning. Mange søger tryghed, fred og befrielse hos Gud. I dag lever vi i en tid, hvor der findes mange forskellige måder at tilbede og følge Gud på. Hvis tro kan give mennesker fred, håb og mening, er det så ikke værd at respektere alle måder, hvorpå Gud tilbedes? I romanen </w:t>
      </w:r>
      <w:r w:rsidRPr="005049CB">
        <w:rPr>
          <w:bCs/>
          <w:i/>
          <w:iCs/>
          <w:sz w:val="24"/>
          <w:szCs w:val="24"/>
        </w:rPr>
        <w:t>Fiskerne</w:t>
      </w:r>
      <w:r w:rsidRPr="005049CB">
        <w:rPr>
          <w:bCs/>
          <w:sz w:val="24"/>
          <w:szCs w:val="24"/>
        </w:rPr>
        <w:t> fra 1928 af forfatteren Hans Kirk får vi et indblik i to kristne retninger. Vi møder folket vestfra med den dybt religiøse indremissionske retning og folket i sognet med den mere frie grundtvigske retning, hvor grundtanken er: </w:t>
      </w:r>
      <w:r w:rsidRPr="005049CB">
        <w:rPr>
          <w:bCs/>
          <w:i/>
          <w:iCs/>
          <w:sz w:val="24"/>
          <w:szCs w:val="24"/>
        </w:rPr>
        <w:t>menneske først, kristen så</w:t>
      </w:r>
      <w:r w:rsidRPr="005049CB">
        <w:rPr>
          <w:bCs/>
          <w:sz w:val="24"/>
          <w:szCs w:val="24"/>
        </w:rPr>
        <w:t>. Romanen dykker ned i temaerne religion og kulturchok og sætter fokus på de religiøse kontraster i samfundet.</w:t>
      </w:r>
      <w:r>
        <w:rPr>
          <w:bCs/>
          <w:sz w:val="24"/>
          <w:szCs w:val="24"/>
        </w:rPr>
        <w:t>”</w:t>
      </w:r>
    </w:p>
    <w:p w14:paraId="4EBAB970" w14:textId="77777777" w:rsidR="005049CB" w:rsidRDefault="005049CB" w:rsidP="00332794">
      <w:pPr>
        <w:rPr>
          <w:b/>
          <w:sz w:val="24"/>
          <w:szCs w:val="24"/>
        </w:rPr>
      </w:pPr>
    </w:p>
    <w:p w14:paraId="47AED350" w14:textId="77777777" w:rsidR="00E057B1" w:rsidRDefault="00E057B1" w:rsidP="00332794">
      <w:pPr>
        <w:rPr>
          <w:b/>
          <w:sz w:val="24"/>
          <w:szCs w:val="24"/>
        </w:rPr>
      </w:pPr>
    </w:p>
    <w:p w14:paraId="67DBF16B" w14:textId="77777777" w:rsidR="00E057B1" w:rsidRDefault="00E057B1" w:rsidP="00332794">
      <w:pPr>
        <w:rPr>
          <w:b/>
          <w:sz w:val="24"/>
          <w:szCs w:val="24"/>
        </w:rPr>
      </w:pPr>
    </w:p>
    <w:p w14:paraId="7D56022D" w14:textId="77777777" w:rsidR="00E057B1" w:rsidRDefault="00E057B1" w:rsidP="00332794">
      <w:pPr>
        <w:rPr>
          <w:b/>
          <w:sz w:val="24"/>
          <w:szCs w:val="24"/>
        </w:rPr>
      </w:pPr>
    </w:p>
    <w:p w14:paraId="46FEF9E6" w14:textId="77777777" w:rsidR="00E057B1" w:rsidRDefault="00E057B1" w:rsidP="00332794">
      <w:pPr>
        <w:rPr>
          <w:b/>
          <w:sz w:val="24"/>
          <w:szCs w:val="24"/>
        </w:rPr>
      </w:pPr>
    </w:p>
    <w:p w14:paraId="444A8303" w14:textId="77777777" w:rsidR="00E057B1" w:rsidRDefault="00E057B1" w:rsidP="00332794">
      <w:pPr>
        <w:rPr>
          <w:b/>
          <w:sz w:val="24"/>
          <w:szCs w:val="24"/>
        </w:rPr>
      </w:pPr>
    </w:p>
    <w:p w14:paraId="43CA728F" w14:textId="77777777" w:rsidR="00E057B1" w:rsidRDefault="00E057B1" w:rsidP="00332794">
      <w:pPr>
        <w:rPr>
          <w:b/>
          <w:sz w:val="24"/>
          <w:szCs w:val="24"/>
        </w:rPr>
      </w:pPr>
    </w:p>
    <w:p w14:paraId="4BD05DD9" w14:textId="77777777" w:rsidR="00E057B1" w:rsidRDefault="00E057B1" w:rsidP="00332794">
      <w:pPr>
        <w:rPr>
          <w:b/>
          <w:sz w:val="24"/>
          <w:szCs w:val="24"/>
        </w:rPr>
      </w:pPr>
    </w:p>
    <w:p w14:paraId="73E08E47" w14:textId="77777777" w:rsidR="00E057B1" w:rsidRDefault="00E057B1" w:rsidP="00332794">
      <w:pPr>
        <w:rPr>
          <w:b/>
          <w:sz w:val="24"/>
          <w:szCs w:val="24"/>
        </w:rPr>
      </w:pPr>
    </w:p>
    <w:p w14:paraId="26AE7099" w14:textId="77777777" w:rsidR="00E057B1" w:rsidRDefault="00E057B1" w:rsidP="00332794">
      <w:pPr>
        <w:rPr>
          <w:b/>
          <w:sz w:val="24"/>
          <w:szCs w:val="24"/>
        </w:rPr>
      </w:pPr>
    </w:p>
    <w:p w14:paraId="7C9FEF2C" w14:textId="77777777" w:rsidR="00E057B1" w:rsidRDefault="00E057B1" w:rsidP="00332794">
      <w:pPr>
        <w:rPr>
          <w:b/>
          <w:sz w:val="24"/>
          <w:szCs w:val="24"/>
        </w:rPr>
      </w:pPr>
    </w:p>
    <w:p w14:paraId="4DA8114C" w14:textId="77777777" w:rsidR="00E057B1" w:rsidRDefault="00E057B1"/>
    <w:sectPr w:rsidR="00E057B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94"/>
    <w:rsid w:val="00057813"/>
    <w:rsid w:val="00070CD2"/>
    <w:rsid w:val="0007397C"/>
    <w:rsid w:val="0008677E"/>
    <w:rsid w:val="000B2960"/>
    <w:rsid w:val="000D6CB4"/>
    <w:rsid w:val="00132240"/>
    <w:rsid w:val="001442D8"/>
    <w:rsid w:val="00152CC7"/>
    <w:rsid w:val="00157071"/>
    <w:rsid w:val="00174C0C"/>
    <w:rsid w:val="001A15EC"/>
    <w:rsid w:val="001B0DB7"/>
    <w:rsid w:val="001B3EFF"/>
    <w:rsid w:val="001D102A"/>
    <w:rsid w:val="001D104E"/>
    <w:rsid w:val="001D4245"/>
    <w:rsid w:val="001E3B89"/>
    <w:rsid w:val="001E4FB3"/>
    <w:rsid w:val="00211F86"/>
    <w:rsid w:val="0022238E"/>
    <w:rsid w:val="00230BD6"/>
    <w:rsid w:val="00251BB0"/>
    <w:rsid w:val="00273DFB"/>
    <w:rsid w:val="002B0B7E"/>
    <w:rsid w:val="002B2432"/>
    <w:rsid w:val="0032576B"/>
    <w:rsid w:val="00332794"/>
    <w:rsid w:val="003405DD"/>
    <w:rsid w:val="0039202E"/>
    <w:rsid w:val="003B24EA"/>
    <w:rsid w:val="00417320"/>
    <w:rsid w:val="004467E5"/>
    <w:rsid w:val="004868A7"/>
    <w:rsid w:val="00496ECE"/>
    <w:rsid w:val="004B3621"/>
    <w:rsid w:val="004D3508"/>
    <w:rsid w:val="004E0553"/>
    <w:rsid w:val="004E234B"/>
    <w:rsid w:val="004E7EB8"/>
    <w:rsid w:val="005049CB"/>
    <w:rsid w:val="00520B4D"/>
    <w:rsid w:val="00533134"/>
    <w:rsid w:val="005C0824"/>
    <w:rsid w:val="005E3E9A"/>
    <w:rsid w:val="00601E16"/>
    <w:rsid w:val="00606973"/>
    <w:rsid w:val="00626F95"/>
    <w:rsid w:val="006E01C0"/>
    <w:rsid w:val="006E1407"/>
    <w:rsid w:val="006F0FCF"/>
    <w:rsid w:val="00722DC3"/>
    <w:rsid w:val="0074690A"/>
    <w:rsid w:val="00782FE5"/>
    <w:rsid w:val="007D10AC"/>
    <w:rsid w:val="0082615B"/>
    <w:rsid w:val="00847C4F"/>
    <w:rsid w:val="0087491E"/>
    <w:rsid w:val="00893C3C"/>
    <w:rsid w:val="008A6E80"/>
    <w:rsid w:val="008B0BA3"/>
    <w:rsid w:val="008D7350"/>
    <w:rsid w:val="008E3BCA"/>
    <w:rsid w:val="00906122"/>
    <w:rsid w:val="009234BF"/>
    <w:rsid w:val="00974079"/>
    <w:rsid w:val="00987266"/>
    <w:rsid w:val="009A7D42"/>
    <w:rsid w:val="009B6A31"/>
    <w:rsid w:val="009C078F"/>
    <w:rsid w:val="009D76C6"/>
    <w:rsid w:val="00A10BB0"/>
    <w:rsid w:val="00AA3F3B"/>
    <w:rsid w:val="00AA4020"/>
    <w:rsid w:val="00AA5DDC"/>
    <w:rsid w:val="00AB45EB"/>
    <w:rsid w:val="00AE5A5E"/>
    <w:rsid w:val="00B304AD"/>
    <w:rsid w:val="00B374AD"/>
    <w:rsid w:val="00B672D4"/>
    <w:rsid w:val="00BD6DFD"/>
    <w:rsid w:val="00BD76E6"/>
    <w:rsid w:val="00C13AD9"/>
    <w:rsid w:val="00C81B9F"/>
    <w:rsid w:val="00C86018"/>
    <w:rsid w:val="00CA0A3D"/>
    <w:rsid w:val="00CC4A06"/>
    <w:rsid w:val="00D26947"/>
    <w:rsid w:val="00D475E5"/>
    <w:rsid w:val="00D54CAF"/>
    <w:rsid w:val="00D87B24"/>
    <w:rsid w:val="00D969B4"/>
    <w:rsid w:val="00DA17B6"/>
    <w:rsid w:val="00DA3274"/>
    <w:rsid w:val="00DC4719"/>
    <w:rsid w:val="00DE4FB4"/>
    <w:rsid w:val="00E057B1"/>
    <w:rsid w:val="00E25B15"/>
    <w:rsid w:val="00E50E36"/>
    <w:rsid w:val="00E94A1A"/>
    <w:rsid w:val="00EA44B7"/>
    <w:rsid w:val="00F00F8D"/>
    <w:rsid w:val="00F07A88"/>
    <w:rsid w:val="00F333B4"/>
    <w:rsid w:val="00FE13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82EA9"/>
  <w15:docId w15:val="{3F111CCC-8D84-44C6-AD7D-C2F18E70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794"/>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332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900055">
      <w:bodyDiv w:val="1"/>
      <w:marLeft w:val="0"/>
      <w:marRight w:val="0"/>
      <w:marTop w:val="0"/>
      <w:marBottom w:val="0"/>
      <w:divBdr>
        <w:top w:val="none" w:sz="0" w:space="0" w:color="auto"/>
        <w:left w:val="none" w:sz="0" w:space="0" w:color="auto"/>
        <w:bottom w:val="none" w:sz="0" w:space="0" w:color="auto"/>
        <w:right w:val="none" w:sz="0" w:space="0" w:color="auto"/>
      </w:divBdr>
    </w:div>
    <w:div w:id="1695106083">
      <w:bodyDiv w:val="1"/>
      <w:marLeft w:val="0"/>
      <w:marRight w:val="0"/>
      <w:marTop w:val="0"/>
      <w:marBottom w:val="0"/>
      <w:divBdr>
        <w:top w:val="none" w:sz="0" w:space="0" w:color="auto"/>
        <w:left w:val="none" w:sz="0" w:space="0" w:color="auto"/>
        <w:bottom w:val="none" w:sz="0" w:space="0" w:color="auto"/>
        <w:right w:val="none" w:sz="0" w:space="0" w:color="auto"/>
      </w:divBdr>
    </w:div>
    <w:div w:id="208182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338</Words>
  <Characters>2068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Lisbeth</dc:creator>
  <cp:lastModifiedBy>Lisbeth Vejlgaard Sørensen</cp:lastModifiedBy>
  <cp:revision>26</cp:revision>
  <dcterms:created xsi:type="dcterms:W3CDTF">2025-04-02T07:50:00Z</dcterms:created>
  <dcterms:modified xsi:type="dcterms:W3CDTF">2025-04-02T18:37:00Z</dcterms:modified>
</cp:coreProperties>
</file>