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5CBA" w14:textId="4FC455EE" w:rsidR="009229B2" w:rsidRDefault="00F41762" w:rsidP="009229B2">
      <w:pPr>
        <w:jc w:val="center"/>
        <w:rPr>
          <w:b/>
          <w:color w:val="943634" w:themeColor="accent2" w:themeShade="BF"/>
          <w:sz w:val="28"/>
          <w:szCs w:val="28"/>
        </w:rPr>
      </w:pPr>
      <w:r w:rsidRPr="00F41762">
        <w:rPr>
          <w:b/>
          <w:color w:val="943634" w:themeColor="accent2" w:themeShade="BF"/>
          <w:sz w:val="28"/>
          <w:szCs w:val="28"/>
        </w:rPr>
        <w:t xml:space="preserve">Reflekterende artikel </w:t>
      </w:r>
    </w:p>
    <w:p w14:paraId="31091EC4" w14:textId="4BE9650E" w:rsidR="00B15D24" w:rsidRPr="00B15D24" w:rsidRDefault="00B15D24" w:rsidP="009229B2">
      <w:pPr>
        <w:jc w:val="center"/>
        <w:rPr>
          <w:b/>
          <w:color w:val="943634" w:themeColor="accent2" w:themeShade="BF"/>
          <w:sz w:val="28"/>
          <w:szCs w:val="28"/>
        </w:rPr>
      </w:pPr>
      <w:r>
        <w:rPr>
          <w:b/>
          <w:color w:val="943634" w:themeColor="accent2" w:themeShade="BF"/>
          <w:sz w:val="28"/>
          <w:szCs w:val="28"/>
        </w:rPr>
        <w:t xml:space="preserve">”Hvorfor læse </w:t>
      </w:r>
      <w:r>
        <w:rPr>
          <w:b/>
          <w:i/>
          <w:iCs/>
          <w:color w:val="943634" w:themeColor="accent2" w:themeShade="BF"/>
          <w:sz w:val="28"/>
          <w:szCs w:val="28"/>
        </w:rPr>
        <w:t>Fiskerne</w:t>
      </w:r>
      <w:r>
        <w:rPr>
          <w:b/>
          <w:color w:val="943634" w:themeColor="accent2" w:themeShade="BF"/>
          <w:sz w:val="28"/>
          <w:szCs w:val="28"/>
        </w:rPr>
        <w:t>?”</w:t>
      </w:r>
    </w:p>
    <w:p w14:paraId="6B065CBC" w14:textId="260583D3" w:rsidR="009229B2" w:rsidRDefault="00F41762" w:rsidP="009229B2">
      <w:pPr>
        <w:rPr>
          <w:b/>
          <w:sz w:val="24"/>
          <w:szCs w:val="24"/>
        </w:rPr>
      </w:pPr>
      <w:r>
        <w:rPr>
          <w:b/>
          <w:sz w:val="24"/>
          <w:szCs w:val="24"/>
        </w:rPr>
        <w:t>Navn:</w:t>
      </w:r>
      <w:r w:rsidR="0050335C">
        <w:rPr>
          <w:b/>
          <w:sz w:val="24"/>
          <w:szCs w:val="24"/>
        </w:rPr>
        <w:t xml:space="preserve"> </w:t>
      </w:r>
      <w:r w:rsidR="00B15D24">
        <w:rPr>
          <w:b/>
          <w:sz w:val="24"/>
          <w:szCs w:val="24"/>
        </w:rPr>
        <w:t>Fælles</w:t>
      </w:r>
    </w:p>
    <w:tbl>
      <w:tblPr>
        <w:tblStyle w:val="Tabel-Gitter"/>
        <w:tblW w:w="0" w:type="auto"/>
        <w:tblLook w:val="04A0" w:firstRow="1" w:lastRow="0" w:firstColumn="1" w:lastColumn="0" w:noHBand="0" w:noVBand="1"/>
      </w:tblPr>
      <w:tblGrid>
        <w:gridCol w:w="2361"/>
        <w:gridCol w:w="7267"/>
      </w:tblGrid>
      <w:tr w:rsidR="00F41762" w:rsidRPr="00FB05B2" w14:paraId="6B065CC4" w14:textId="77777777" w:rsidTr="00477072">
        <w:tc>
          <w:tcPr>
            <w:tcW w:w="2376" w:type="dxa"/>
          </w:tcPr>
          <w:p w14:paraId="6B065CBD" w14:textId="77777777" w:rsidR="00F41762" w:rsidRDefault="00F41762" w:rsidP="00477072">
            <w:r>
              <w:t>Sprog</w:t>
            </w:r>
          </w:p>
        </w:tc>
        <w:tc>
          <w:tcPr>
            <w:tcW w:w="7402" w:type="dxa"/>
          </w:tcPr>
          <w:p w14:paraId="6B065CBE" w14:textId="77777777" w:rsidR="00F41762" w:rsidRDefault="00F41762" w:rsidP="00477072"/>
          <w:p w14:paraId="6B065CBF" w14:textId="462E65E7" w:rsidR="00F41762" w:rsidRPr="00DB2FAA" w:rsidRDefault="003C616E" w:rsidP="00477072">
            <w:pPr>
              <w:rPr>
                <w:color w:val="FF0000"/>
              </w:rPr>
            </w:pPr>
            <w:r>
              <w:t>I har generelt et vidunderligt sprogligt flow, men så meget desto vigtigere er det at udrydde de sidste småfejl (typisk sammenhængende ord, nogle/nogen, hans/sin, komma</w:t>
            </w:r>
            <w:r w:rsidR="00133B0D">
              <w:t xml:space="preserve">, formalia). </w:t>
            </w:r>
            <w:r w:rsidR="00133B0D" w:rsidRPr="00DB2FAA">
              <w:rPr>
                <w:color w:val="FF0000"/>
              </w:rPr>
              <w:t>Alle har godt af en ekstra støvsugning for disse fejltyper</w:t>
            </w:r>
            <w:r w:rsidR="00DB2FAA" w:rsidRPr="00DB2FAA">
              <w:rPr>
                <w:color w:val="FF0000"/>
              </w:rPr>
              <w:t>.</w:t>
            </w:r>
          </w:p>
          <w:p w14:paraId="6B065CC0" w14:textId="77777777" w:rsidR="00F41762" w:rsidRPr="00DB2FAA" w:rsidRDefault="00F41762" w:rsidP="00477072"/>
          <w:p w14:paraId="6B065CC1" w14:textId="132A89B0" w:rsidR="00F41762" w:rsidRDefault="00F8565D" w:rsidP="00477072">
            <w:r>
              <w:t>Hvor bruger man kursiv??</w:t>
            </w:r>
          </w:p>
          <w:p w14:paraId="6B065CC2" w14:textId="77777777" w:rsidR="00F41762" w:rsidRDefault="00F41762" w:rsidP="00477072"/>
          <w:p w14:paraId="6B065CC3" w14:textId="32311D9A" w:rsidR="00F41762" w:rsidRPr="00FB05B2" w:rsidRDefault="002F4483" w:rsidP="00477072">
            <w:r>
              <w:t>Referer altid i nutid!</w:t>
            </w:r>
            <w:r w:rsidR="00FB05B2">
              <w:t xml:space="preserve"> </w:t>
            </w:r>
            <w:r w:rsidR="00FB05B2" w:rsidRPr="00FB05B2">
              <w:t xml:space="preserve">(”Som da Laust Sand </w:t>
            </w:r>
            <w:r w:rsidR="00FB05B2" w:rsidRPr="00FB05B2">
              <w:rPr>
                <w:strike/>
              </w:rPr>
              <w:t>blev</w:t>
            </w:r>
            <w:r w:rsidR="00FB05B2" w:rsidRPr="00FB05B2">
              <w:t xml:space="preserve"> s</w:t>
            </w:r>
            <w:r w:rsidR="00FB05B2">
              <w:t>tukket af (…)”</w:t>
            </w:r>
          </w:p>
        </w:tc>
      </w:tr>
      <w:tr w:rsidR="00F41762" w14:paraId="6B065CCC" w14:textId="77777777" w:rsidTr="00477072">
        <w:tc>
          <w:tcPr>
            <w:tcW w:w="2376" w:type="dxa"/>
          </w:tcPr>
          <w:p w14:paraId="6B065CC5" w14:textId="77777777" w:rsidR="00F41762" w:rsidRDefault="00F41762" w:rsidP="00477072">
            <w:r>
              <w:t>Struktur</w:t>
            </w:r>
          </w:p>
        </w:tc>
        <w:tc>
          <w:tcPr>
            <w:tcW w:w="7402" w:type="dxa"/>
          </w:tcPr>
          <w:p w14:paraId="6B065CC6" w14:textId="77777777" w:rsidR="00F41762" w:rsidRDefault="00F41762" w:rsidP="00477072"/>
          <w:p w14:paraId="6B065CCA" w14:textId="53CC4A4F" w:rsidR="00F41762" w:rsidRDefault="005F2FA6" w:rsidP="00477072">
            <w:r>
              <w:t>Se nedenfor: dejligt fokuseret indledning – også genremæssigt.</w:t>
            </w:r>
          </w:p>
          <w:p w14:paraId="6B065CCB" w14:textId="77777777" w:rsidR="00F41762" w:rsidRDefault="00F41762" w:rsidP="00477072"/>
        </w:tc>
      </w:tr>
      <w:tr w:rsidR="00F41762" w:rsidRPr="00400785" w14:paraId="6B065CD4" w14:textId="77777777" w:rsidTr="00477072">
        <w:tc>
          <w:tcPr>
            <w:tcW w:w="2376" w:type="dxa"/>
          </w:tcPr>
          <w:p w14:paraId="6B065CCD" w14:textId="77777777" w:rsidR="00F41762" w:rsidRDefault="00F41762" w:rsidP="00477072">
            <w:r>
              <w:t>Faglighed</w:t>
            </w:r>
          </w:p>
        </w:tc>
        <w:tc>
          <w:tcPr>
            <w:tcW w:w="7402" w:type="dxa"/>
          </w:tcPr>
          <w:p w14:paraId="6B065CCE" w14:textId="77777777" w:rsidR="00F41762" w:rsidRDefault="00F41762" w:rsidP="00477072"/>
          <w:p w14:paraId="6B065CCF" w14:textId="7E23F67D" w:rsidR="00F41762" w:rsidRDefault="00BF5292" w:rsidP="00477072">
            <w:r>
              <w:t>Pas på, at I ikke bruger så meget krudt på materialet, at jeres egne selvstændige refleksioner drukner i gengivelse af materialets indhold. Det er en balancegang.</w:t>
            </w:r>
            <w:r w:rsidR="00A57EF9">
              <w:t xml:space="preserve"> Tænk tekstøkonomisk.</w:t>
            </w:r>
          </w:p>
          <w:p w14:paraId="6B065CD0" w14:textId="77777777" w:rsidR="00F41762" w:rsidRDefault="00F41762" w:rsidP="00477072"/>
          <w:p w14:paraId="0804264E" w14:textId="3645FF88" w:rsidR="001B1F71" w:rsidRPr="001B1F71" w:rsidRDefault="00B77E80" w:rsidP="00477072">
            <w:r>
              <w:t>Hold stædigt fast i refleksioner. Bliv véd med at søge dybere. Se fx: ”</w:t>
            </w:r>
            <w:r w:rsidR="001B1F71" w:rsidRPr="001B1F71">
              <w:rPr>
                <w:rFonts w:ascii="Times New Roman" w:hAnsi="Times New Roman" w:cs="Times New Roman"/>
              </w:rPr>
              <w:t xml:space="preserve"> </w:t>
            </w:r>
            <w:r w:rsidR="001B1F71" w:rsidRPr="001B1F71">
              <w:t>Måske er det netop derfor vi stadig læser den. Fordi den minder os om noget grundlæggende ved at være menneske.</w:t>
            </w:r>
            <w:r w:rsidR="001B1F71">
              <w:t xml:space="preserve">” Det er jo en vidunderlig refleksion, men den kan tages endnu videre. Hvad </w:t>
            </w:r>
            <w:r w:rsidR="001B1F71">
              <w:rPr>
                <w:i/>
                <w:iCs/>
              </w:rPr>
              <w:t>gør</w:t>
            </w:r>
            <w:r w:rsidR="001B1F71">
              <w:t xml:space="preserve"> det ved os, at vi </w:t>
            </w:r>
            <w:r w:rsidR="008D3F0E">
              <w:t xml:space="preserve">bliver mindet om noget grundlæggende? Trøster det, fordi vi </w:t>
            </w:r>
            <w:r w:rsidR="00F6629F">
              <w:t>mærker, vi ikke er alene? Er det spejlingen, genkendelsen?</w:t>
            </w:r>
          </w:p>
          <w:p w14:paraId="6B065CD2" w14:textId="77777777" w:rsidR="00F41762" w:rsidRDefault="00F41762" w:rsidP="00477072"/>
          <w:p w14:paraId="27C766DE" w14:textId="77777777" w:rsidR="00F41762" w:rsidRDefault="00921387" w:rsidP="00477072">
            <w:r>
              <w:t>Hvad er hjertet af en klassiker? Er det blot et vidnesbyrd fra gammel tid??</w:t>
            </w:r>
            <w:r w:rsidR="00523A7B">
              <w:t xml:space="preserve"> En tidskapsel?? I så fald er det ikke en klassiker…</w:t>
            </w:r>
          </w:p>
          <w:p w14:paraId="5BEFEE96" w14:textId="77777777" w:rsidR="008F0767" w:rsidRDefault="008F0767" w:rsidP="00477072"/>
          <w:p w14:paraId="78DAD2E5" w14:textId="77777777" w:rsidR="008F0767" w:rsidRDefault="008F0767" w:rsidP="00477072">
            <w:r>
              <w:t xml:space="preserve">Eksempler behøver ikke at være deciderede citater hver gang. Det gør det </w:t>
            </w:r>
            <w:r w:rsidR="00EF4EE9">
              <w:t xml:space="preserve">for </w:t>
            </w:r>
            <w:r>
              <w:t>svært at referere til større handlings</w:t>
            </w:r>
            <w:r w:rsidR="00EF4EE9">
              <w:t>dele.</w:t>
            </w:r>
          </w:p>
          <w:p w14:paraId="1C5FAF27" w14:textId="77777777" w:rsidR="00400785" w:rsidRDefault="00400785" w:rsidP="00477072"/>
          <w:p w14:paraId="6B065CD3" w14:textId="2293654D" w:rsidR="00400785" w:rsidRPr="00400785" w:rsidRDefault="00400785" w:rsidP="00477072">
            <w:pPr>
              <w:rPr>
                <w:lang w:val="nb-NO"/>
              </w:rPr>
            </w:pPr>
            <w:proofErr w:type="spellStart"/>
            <w:r w:rsidRPr="00400785">
              <w:rPr>
                <w:lang w:val="nb-NO"/>
              </w:rPr>
              <w:t>Formidl</w:t>
            </w:r>
            <w:proofErr w:type="spellEnd"/>
            <w:r w:rsidRPr="00400785">
              <w:rPr>
                <w:lang w:val="nb-NO"/>
              </w:rPr>
              <w:t xml:space="preserve"> stramt og strikt </w:t>
            </w:r>
            <w:proofErr w:type="spellStart"/>
            <w:r w:rsidRPr="00400785">
              <w:rPr>
                <w:lang w:val="nb-NO"/>
              </w:rPr>
              <w:t>fag</w:t>
            </w:r>
            <w:r>
              <w:rPr>
                <w:lang w:val="nb-NO"/>
              </w:rPr>
              <w:t>ligt</w:t>
            </w:r>
            <w:proofErr w:type="spellEnd"/>
            <w:r>
              <w:rPr>
                <w:lang w:val="nb-NO"/>
              </w:rPr>
              <w:t xml:space="preserve">. Se eksempel nedenfor med virkelig </w:t>
            </w:r>
            <w:proofErr w:type="spellStart"/>
            <w:r>
              <w:rPr>
                <w:lang w:val="nb-NO"/>
              </w:rPr>
              <w:t>flot</w:t>
            </w:r>
            <w:proofErr w:type="spellEnd"/>
            <w:r>
              <w:rPr>
                <w:lang w:val="nb-NO"/>
              </w:rPr>
              <w:t xml:space="preserve"> fokus og </w:t>
            </w:r>
            <w:proofErr w:type="spellStart"/>
            <w:r>
              <w:rPr>
                <w:lang w:val="nb-NO"/>
              </w:rPr>
              <w:t>overblik</w:t>
            </w:r>
            <w:proofErr w:type="spellEnd"/>
            <w:r w:rsidR="00537D74">
              <w:rPr>
                <w:lang w:val="nb-NO"/>
              </w:rPr>
              <w:t>**</w:t>
            </w:r>
          </w:p>
        </w:tc>
      </w:tr>
      <w:tr w:rsidR="00F41762" w14:paraId="6B065CDC" w14:textId="77777777" w:rsidTr="00477072">
        <w:tc>
          <w:tcPr>
            <w:tcW w:w="2376" w:type="dxa"/>
          </w:tcPr>
          <w:p w14:paraId="6B065CD5" w14:textId="77777777" w:rsidR="00F41762" w:rsidRDefault="00F41762" w:rsidP="00477072">
            <w:r>
              <w:t>Genre/formidling</w:t>
            </w:r>
          </w:p>
        </w:tc>
        <w:tc>
          <w:tcPr>
            <w:tcW w:w="7402" w:type="dxa"/>
          </w:tcPr>
          <w:p w14:paraId="6B065CD6" w14:textId="77777777" w:rsidR="00F41762" w:rsidRDefault="00F41762" w:rsidP="00477072"/>
          <w:p w14:paraId="6B065CD7" w14:textId="7AAEFF92" w:rsidR="00F41762" w:rsidRPr="000E0F0F" w:rsidRDefault="000E0F0F" w:rsidP="00477072">
            <w:pPr>
              <w:rPr>
                <w:color w:val="FF0000"/>
              </w:rPr>
            </w:pPr>
            <w:r>
              <w:rPr>
                <w:color w:val="FF0000"/>
              </w:rPr>
              <w:t>K</w:t>
            </w:r>
            <w:r w:rsidR="00711C61" w:rsidRPr="000E0F0F">
              <w:rPr>
                <w:color w:val="FF0000"/>
              </w:rPr>
              <w:t xml:space="preserve">olon ved </w:t>
            </w:r>
            <w:r w:rsidR="00392836" w:rsidRPr="000E0F0F">
              <w:rPr>
                <w:color w:val="FF0000"/>
              </w:rPr>
              <w:t>citat:</w:t>
            </w:r>
          </w:p>
          <w:p w14:paraId="469C9116" w14:textId="607E160C" w:rsidR="00392836" w:rsidRPr="008A55BB" w:rsidRDefault="00392836" w:rsidP="00477072">
            <w:pPr>
              <w:rPr>
                <w:color w:val="FF0000"/>
              </w:rPr>
            </w:pPr>
            <w:proofErr w:type="spellStart"/>
            <w:r w:rsidRPr="00392836">
              <w:t>Calvino</w:t>
            </w:r>
            <w:proofErr w:type="spellEnd"/>
            <w:r w:rsidRPr="00392836">
              <w:t xml:space="preserve"> nævner også, at vi ikke bør læse klassikere af pligt, men af kærlighe</w:t>
            </w:r>
            <w:r w:rsidRPr="00711C61">
              <w:rPr>
                <w:shd w:val="clear" w:color="auto" w:fill="FDE9D9" w:themeFill="accent6" w:themeFillTint="33"/>
              </w:rPr>
              <w:t>d</w:t>
            </w:r>
            <w:r w:rsidR="00FC1854">
              <w:rPr>
                <w:color w:val="FF0000"/>
                <w:shd w:val="clear" w:color="auto" w:fill="FDE9D9" w:themeFill="accent6" w:themeFillTint="33"/>
              </w:rPr>
              <w:t>:</w:t>
            </w:r>
            <w:r w:rsidRPr="00711C61">
              <w:rPr>
                <w:color w:val="FF0000"/>
              </w:rPr>
              <w:t xml:space="preserve"> </w:t>
            </w:r>
            <w:r w:rsidRPr="00392836">
              <w:rPr>
                <w:i/>
                <w:iCs/>
              </w:rPr>
              <w:t>“Man læser ikke klassikere af pligt eller respekt, men kun af kærlighed. Hvis gnisten ikke springer, er der intet at gøre.”</w:t>
            </w:r>
            <w:r w:rsidRPr="00392836">
              <w:t xml:space="preserve"> (ll.31-32)</w:t>
            </w:r>
            <w:r w:rsidR="008A55BB">
              <w:rPr>
                <w:color w:val="FF0000"/>
              </w:rPr>
              <w:t>punktum</w:t>
            </w:r>
          </w:p>
          <w:p w14:paraId="5EFE1B2C" w14:textId="7D2FFF6B" w:rsidR="00101041" w:rsidRDefault="00101041" w:rsidP="00101041">
            <w:pPr>
              <w:jc w:val="right"/>
            </w:pPr>
            <w:r>
              <w:t>Citér ikke i kursiv</w:t>
            </w:r>
          </w:p>
          <w:p w14:paraId="6BC84525" w14:textId="1179A02F" w:rsidR="000E0F0F" w:rsidRDefault="000E0F0F" w:rsidP="00101041">
            <w:pPr>
              <w:jc w:val="right"/>
            </w:pPr>
            <w:r>
              <w:t>Fungerende henvisning, fordi vi artiklen netop er præsenteret.</w:t>
            </w:r>
          </w:p>
          <w:p w14:paraId="6B065CD8" w14:textId="77777777" w:rsidR="00F41762" w:rsidRDefault="00F41762" w:rsidP="00477072"/>
          <w:p w14:paraId="6B065CD9" w14:textId="0976E39E" w:rsidR="00F41762" w:rsidRDefault="00B33DEB" w:rsidP="00477072">
            <w:r>
              <w:t>Eksempel på mindre hensigtsmæssig citatteknik + henvisning</w:t>
            </w:r>
            <w:r w:rsidR="00923CEE">
              <w:t xml:space="preserve"> (</w:t>
            </w:r>
            <w:r w:rsidR="009E5021">
              <w:t>i artikler skal materialet aktivt præsenteres, dvs. i løbende tekst)</w:t>
            </w:r>
            <w:r>
              <w:t>:</w:t>
            </w:r>
          </w:p>
          <w:p w14:paraId="4E1BE649" w14:textId="0FDC5F92" w:rsidR="00B33DEB" w:rsidRDefault="00B33DEB" w:rsidP="00477072">
            <w:proofErr w:type="spellStart"/>
            <w:r w:rsidRPr="00B33DEB">
              <w:lastRenderedPageBreak/>
              <w:t>Italo</w:t>
            </w:r>
            <w:proofErr w:type="spellEnd"/>
            <w:r w:rsidRPr="00B33DEB">
              <w:t xml:space="preserve"> </w:t>
            </w:r>
            <w:proofErr w:type="spellStart"/>
            <w:r w:rsidRPr="00B33DEB">
              <w:t>Calvino</w:t>
            </w:r>
            <w:proofErr w:type="spellEnd"/>
            <w:r w:rsidRPr="00B33DEB">
              <w:t xml:space="preserve"> udtaler i ”Derfor skal man læse klassikere” at: ” En klassiker er en bog, der aldrig er blevet færdig med at sige det, den har at sige” (Madsen, Anders Ellebæk; ”Derfor skal man læse klassikere”, Kristeligt Dagblad, 20. oktober 2018).</w:t>
            </w:r>
          </w:p>
          <w:p w14:paraId="6A92FFD8" w14:textId="77777777" w:rsidR="001F768B" w:rsidRDefault="001F768B" w:rsidP="00477072"/>
          <w:p w14:paraId="2679B44D" w14:textId="012767F1" w:rsidR="001F768B" w:rsidRDefault="00B86D1A" w:rsidP="00477072">
            <w:r>
              <w:t>”Efter at have læst teksterne af Sørensen og Madsen (…)” – undgå bestemt form, før materialet er præsenteret.</w:t>
            </w:r>
          </w:p>
          <w:p w14:paraId="6B065CDA" w14:textId="77777777" w:rsidR="00F41762" w:rsidRDefault="00F41762" w:rsidP="00477072"/>
          <w:p w14:paraId="15589D4B" w14:textId="77777777" w:rsidR="00F41762" w:rsidRDefault="00167205" w:rsidP="00477072">
            <w:r>
              <w:t>Hvorfor skal man nævne det medie, en artikel er udgivet i??</w:t>
            </w:r>
          </w:p>
          <w:p w14:paraId="08088951" w14:textId="77777777" w:rsidR="00F06A83" w:rsidRDefault="00F06A83" w:rsidP="00477072"/>
          <w:p w14:paraId="75E2FDD0" w14:textId="635BC5BB" w:rsidR="00F06A83" w:rsidRDefault="00F06A83" w:rsidP="00477072">
            <w:r>
              <w:t xml:space="preserve">Velfungerende (og stort set fejlfri) henvisning, præsentation og </w:t>
            </w:r>
            <w:proofErr w:type="spellStart"/>
            <w:r>
              <w:t>citstteknik</w:t>
            </w:r>
            <w:proofErr w:type="spellEnd"/>
            <w:r>
              <w:t>:</w:t>
            </w:r>
          </w:p>
          <w:p w14:paraId="4AF212B4" w14:textId="49C4FCB2" w:rsidR="00F06A83" w:rsidRPr="00F06A83" w:rsidRDefault="00F06A83" w:rsidP="00477072">
            <w:pPr>
              <w:rPr>
                <w:color w:val="FF0000"/>
              </w:rPr>
            </w:pPr>
            <w:r w:rsidRPr="00F06A83">
              <w:rPr>
                <w:color w:val="FF0000"/>
              </w:rPr>
              <w:t>I artiklen </w:t>
            </w:r>
            <w:r w:rsidRPr="00F06A83">
              <w:rPr>
                <w:i/>
                <w:iCs/>
                <w:color w:val="FF0000"/>
              </w:rPr>
              <w:t>Derfor skal man læse klassikere,</w:t>
            </w:r>
            <w:r w:rsidRPr="00F06A83">
              <w:rPr>
                <w:color w:val="FF0000"/>
              </w:rPr>
              <w:t xml:space="preserve"> udgivet i 2018 af kristeligt dagblad, citeres den italienske forfatter </w:t>
            </w:r>
            <w:proofErr w:type="spellStart"/>
            <w:r w:rsidRPr="00F06A83">
              <w:rPr>
                <w:color w:val="FF0000"/>
              </w:rPr>
              <w:t>Italo</w:t>
            </w:r>
            <w:proofErr w:type="spellEnd"/>
            <w:r w:rsidRPr="00F06A83">
              <w:rPr>
                <w:color w:val="FF0000"/>
              </w:rPr>
              <w:t xml:space="preserve"> </w:t>
            </w:r>
            <w:proofErr w:type="spellStart"/>
            <w:r w:rsidRPr="00F06A83">
              <w:rPr>
                <w:color w:val="FF0000"/>
              </w:rPr>
              <w:t>Calvino</w:t>
            </w:r>
            <w:proofErr w:type="spellEnd"/>
            <w:r w:rsidRPr="00F06A83">
              <w:rPr>
                <w:color w:val="FF0000"/>
              </w:rPr>
              <w:t xml:space="preserve"> (1923-1985) for at sige, at en klassiker er en bog, der ”aldrig er blevet færdig med at sige det, den har at sige”.</w:t>
            </w:r>
          </w:p>
          <w:p w14:paraId="54D415E7" w14:textId="77777777" w:rsidR="00FE64C1" w:rsidRDefault="00FE64C1" w:rsidP="00477072"/>
          <w:p w14:paraId="6B065CDB" w14:textId="43EAB0BA" w:rsidR="00FE64C1" w:rsidRPr="00AC1B11" w:rsidRDefault="000145E1" w:rsidP="00477072">
            <w:pPr>
              <w:rPr>
                <w:b/>
                <w:bCs/>
              </w:rPr>
            </w:pPr>
            <w:r w:rsidRPr="00AC1B11">
              <w:rPr>
                <w:b/>
                <w:bCs/>
                <w:shd w:val="clear" w:color="auto" w:fill="FFFF00"/>
              </w:rPr>
              <w:t>Husk, at en reflekterende artikel skal ende åbent – med mulighed for videre refleksion.</w:t>
            </w:r>
          </w:p>
        </w:tc>
      </w:tr>
      <w:tr w:rsidR="00F41762" w14:paraId="6B065CE4" w14:textId="77777777" w:rsidTr="00477072">
        <w:tc>
          <w:tcPr>
            <w:tcW w:w="2376" w:type="dxa"/>
          </w:tcPr>
          <w:p w14:paraId="6B065CDD" w14:textId="77777777" w:rsidR="00F41762" w:rsidRDefault="00F41762" w:rsidP="00477072">
            <w:r>
              <w:lastRenderedPageBreak/>
              <w:t>Emnebehandling (besvares opgaven)</w:t>
            </w:r>
          </w:p>
        </w:tc>
        <w:tc>
          <w:tcPr>
            <w:tcW w:w="7402" w:type="dxa"/>
          </w:tcPr>
          <w:p w14:paraId="6B065CDE" w14:textId="77777777" w:rsidR="00F41762" w:rsidRDefault="00F41762" w:rsidP="00477072"/>
          <w:p w14:paraId="6B065CDF" w14:textId="776081CF" w:rsidR="00F41762" w:rsidRPr="000F1D89" w:rsidRDefault="00E03747" w:rsidP="00477072">
            <w:r>
              <w:t xml:space="preserve">Her er ret store krav til kvaliteten af ens abstrakte </w:t>
            </w:r>
            <w:r w:rsidR="00574BA9">
              <w:t>overvejelser. De skal have faglig rod/dyb</w:t>
            </w:r>
            <w:r w:rsidR="000F1D89">
              <w:t>d</w:t>
            </w:r>
            <w:r w:rsidR="00574BA9">
              <w:t xml:space="preserve">e. Samtidig er kravene til inddragelsen af materialet </w:t>
            </w:r>
            <w:r w:rsidR="000F1D89">
              <w:t xml:space="preserve">høje. De analytiske nedslag skal konkretisere de abstrakte overvejelser… Det kræver indgående kendskab til </w:t>
            </w:r>
            <w:r w:rsidR="000F1D89">
              <w:rPr>
                <w:b/>
                <w:bCs/>
                <w:i/>
                <w:iCs/>
              </w:rPr>
              <w:t>Fiskerne</w:t>
            </w:r>
            <w:r w:rsidR="000F1D89">
              <w:rPr>
                <w:b/>
                <w:bCs/>
              </w:rPr>
              <w:t>. -</w:t>
            </w:r>
            <w:r w:rsidR="000F1D89">
              <w:t xml:space="preserve">Som I jo </w:t>
            </w:r>
            <w:r w:rsidR="000F1D89">
              <w:rPr>
                <w:i/>
                <w:iCs/>
              </w:rPr>
              <w:t>har</w:t>
            </w:r>
            <w:r w:rsidR="000F1D89">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6B065CE0" w14:textId="77777777" w:rsidR="00F41762" w:rsidRDefault="00F41762" w:rsidP="00477072"/>
          <w:p w14:paraId="6B065CE1" w14:textId="5888689F" w:rsidR="00F41762" w:rsidRDefault="00836036" w:rsidP="00477072">
            <w:r>
              <w:t xml:space="preserve">Overordnede, upersonlige tematiske gentagelser besvarer ikke opgaven. Eksempelvis: </w:t>
            </w:r>
            <w:r w:rsidR="00E25B39">
              <w:t>(se nedenfor)*</w:t>
            </w:r>
          </w:p>
          <w:p w14:paraId="0CD77CFB" w14:textId="77777777" w:rsidR="00F41762" w:rsidRDefault="00F41762" w:rsidP="00477072"/>
          <w:p w14:paraId="6B065CE3" w14:textId="7B0B5724" w:rsidR="00C31B54" w:rsidRPr="00C31B54" w:rsidRDefault="00C31B54" w:rsidP="00477072">
            <w:r>
              <w:t xml:space="preserve">I skal </w:t>
            </w:r>
            <w:r>
              <w:rPr>
                <w:i/>
                <w:iCs/>
              </w:rPr>
              <w:t xml:space="preserve">ville </w:t>
            </w:r>
            <w:r>
              <w:t xml:space="preserve">noget for at være </w:t>
            </w:r>
            <w:proofErr w:type="spellStart"/>
            <w:r>
              <w:t>læsværdige</w:t>
            </w:r>
            <w:proofErr w:type="spellEnd"/>
            <w:r>
              <w:t>!</w:t>
            </w:r>
          </w:p>
        </w:tc>
      </w:tr>
      <w:tr w:rsidR="00F41762" w14:paraId="6B065CEC" w14:textId="77777777" w:rsidTr="00477072">
        <w:tc>
          <w:tcPr>
            <w:tcW w:w="2376" w:type="dxa"/>
          </w:tcPr>
          <w:p w14:paraId="6B065CE5" w14:textId="77777777" w:rsidR="00F41762" w:rsidRDefault="00F41762" w:rsidP="00477072">
            <w:r>
              <w:t>Samlet vurdering</w:t>
            </w:r>
          </w:p>
        </w:tc>
        <w:tc>
          <w:tcPr>
            <w:tcW w:w="7402" w:type="dxa"/>
          </w:tcPr>
          <w:p w14:paraId="6B065CEB" w14:textId="77777777" w:rsidR="00F41762" w:rsidRDefault="00F41762" w:rsidP="00477072"/>
        </w:tc>
      </w:tr>
    </w:tbl>
    <w:p w14:paraId="6B065CED" w14:textId="77777777" w:rsidR="00F41762" w:rsidRDefault="00F41762" w:rsidP="009229B2">
      <w:pPr>
        <w:rPr>
          <w:b/>
          <w:sz w:val="24"/>
          <w:szCs w:val="24"/>
        </w:rPr>
      </w:pPr>
    </w:p>
    <w:p w14:paraId="6B065CEE" w14:textId="5662115B" w:rsidR="00F41762" w:rsidRDefault="005F2FA6" w:rsidP="009229B2">
      <w:pPr>
        <w:rPr>
          <w:b/>
          <w:sz w:val="24"/>
          <w:szCs w:val="24"/>
        </w:rPr>
      </w:pPr>
      <w:r>
        <w:rPr>
          <w:b/>
          <w:sz w:val="24"/>
          <w:szCs w:val="24"/>
        </w:rPr>
        <w:t>Eksempel på velfungerende indledning</w:t>
      </w:r>
    </w:p>
    <w:p w14:paraId="4C948E2C" w14:textId="13733C49" w:rsidR="005F2FA6" w:rsidRPr="005F2FA6" w:rsidRDefault="005F2FA6" w:rsidP="005F2FA6">
      <w:pPr>
        <w:rPr>
          <w:bCs/>
          <w:sz w:val="24"/>
          <w:szCs w:val="24"/>
        </w:rPr>
      </w:pPr>
      <w:r>
        <w:rPr>
          <w:bCs/>
          <w:sz w:val="24"/>
          <w:szCs w:val="24"/>
        </w:rPr>
        <w:t>”</w:t>
      </w:r>
      <w:r w:rsidRPr="005F2FA6">
        <w:rPr>
          <w:bCs/>
          <w:sz w:val="24"/>
          <w:szCs w:val="24"/>
        </w:rPr>
        <w:t xml:space="preserve">Klassikere har en særlig evne til at forbinde fortid og nutid. De fungerer som tidskapsler, der fastholder historiens stemning, tanker og dilemmaer. Hans Kirks </w:t>
      </w:r>
      <w:r w:rsidRPr="005F2FA6">
        <w:rPr>
          <w:bCs/>
          <w:i/>
          <w:iCs/>
          <w:sz w:val="24"/>
          <w:szCs w:val="24"/>
        </w:rPr>
        <w:t>Fiskerne</w:t>
      </w:r>
      <w:r w:rsidRPr="005F2FA6">
        <w:rPr>
          <w:bCs/>
          <w:sz w:val="24"/>
          <w:szCs w:val="24"/>
        </w:rPr>
        <w:t xml:space="preserve"> er et eksempel på en roman, der stadig vækker genklang for mange i dag, fordi dens temaer og symbolik rækker ud over den tid, den blev skrevet i. Men hvad gør egentlig en bog til en klassiker? Er det dens evne til at tale til os på tværs af generationer, eller afhænger det af den kontekst, vi læser den i? </w:t>
      </w:r>
      <w:r w:rsidRPr="005F2FA6">
        <w:rPr>
          <w:bCs/>
          <w:i/>
          <w:iCs/>
          <w:sz w:val="24"/>
          <w:szCs w:val="24"/>
        </w:rPr>
        <w:t>Fiskerne</w:t>
      </w:r>
      <w:r w:rsidRPr="005F2FA6">
        <w:rPr>
          <w:bCs/>
          <w:sz w:val="24"/>
          <w:szCs w:val="24"/>
        </w:rPr>
        <w:t xml:space="preserve"> kan både ses som et vindue til fortiden og et spejl, der reflekterer vores egne tanker og følelser. Men kan en klassiker nogensinde forstås helt objektivt, eller vil vores oplevelse af den altid være farvet af den tid og de øjne, der læser den?</w:t>
      </w:r>
      <w:r>
        <w:rPr>
          <w:bCs/>
          <w:sz w:val="24"/>
          <w:szCs w:val="24"/>
        </w:rPr>
        <w:t>”</w:t>
      </w:r>
    </w:p>
    <w:p w14:paraId="3C566077" w14:textId="77777777" w:rsidR="00E25B39" w:rsidRDefault="00E25B39">
      <w:pPr>
        <w:rPr>
          <w:bCs/>
          <w:sz w:val="24"/>
          <w:szCs w:val="24"/>
        </w:rPr>
      </w:pPr>
    </w:p>
    <w:p w14:paraId="77BE8B35" w14:textId="63EF6D62" w:rsidR="00E25B39" w:rsidRDefault="00E25B39">
      <w:pPr>
        <w:rPr>
          <w:bCs/>
          <w:sz w:val="24"/>
          <w:szCs w:val="24"/>
        </w:rPr>
      </w:pPr>
      <w:r>
        <w:rPr>
          <w:bCs/>
          <w:sz w:val="24"/>
          <w:szCs w:val="24"/>
        </w:rPr>
        <w:t>*</w:t>
      </w:r>
    </w:p>
    <w:p w14:paraId="19E403F7" w14:textId="7FE4CD07" w:rsidR="00E25B39" w:rsidRDefault="00E25B39">
      <w:r>
        <w:lastRenderedPageBreak/>
        <w:t>”</w:t>
      </w:r>
      <w:r w:rsidRPr="00E25B39">
        <w:t>Et centralt afsnit i Fiskerne viser, hvordan fiskernes stærke tro skaber afstand mellem dem og samfundet omkring dem. Deres tro binder dem sammen, men skaber samtidig konflikter, da samfundet ser anderledes på deres værdier. Troen bliver både en styrke, der holder gruppen sammen, men også en hindring for at blive en del af samfundet. Denne konflikt om tro og fællesskab er noget, vi stadig kan relatere til i dag. I nutidens samfund ser vi ofte, hvordan religiøse og kulturelle grupper kan have svært ved at forstå hinanden. Konflikterne og spændingerne i bogen spejler de udfordringer, vi møder, når vi forsøger at finde en balance mellem at bevare vores egen kultur og leve i et samfund, der er mangfoldigt</w:t>
      </w:r>
      <w:r>
        <w:t>”</w:t>
      </w:r>
    </w:p>
    <w:p w14:paraId="61677F5E" w14:textId="77777777" w:rsidR="00537D74" w:rsidRDefault="00537D74"/>
    <w:p w14:paraId="1795246C" w14:textId="39FF145E" w:rsidR="00537D74" w:rsidRDefault="00537D74">
      <w:r>
        <w:t>**</w:t>
      </w:r>
    </w:p>
    <w:p w14:paraId="219A7948" w14:textId="77777777" w:rsidR="00537D74" w:rsidRPr="00537D74" w:rsidRDefault="00537D74" w:rsidP="00537D74">
      <w:r w:rsidRPr="00537D74">
        <w:t xml:space="preserve">Et oplagt eksempel på en klassiker, som stadig har meget på hjerte, er Hans Kirks </w:t>
      </w:r>
      <w:r w:rsidRPr="00537D74">
        <w:rPr>
          <w:i/>
          <w:iCs/>
        </w:rPr>
        <w:t xml:space="preserve">Fiskerne </w:t>
      </w:r>
      <w:r w:rsidRPr="00537D74">
        <w:t xml:space="preserve">fra 1928. Her møder læserne indremissionske fiskere fra vestkysten, som skal vænne sig til det anderledes liv ved fjorden. Bogen er fuld af tidløse konflikter, men særligt én hang ved mig: </w:t>
      </w:r>
    </w:p>
    <w:p w14:paraId="278E17D9" w14:textId="55AAC8CB" w:rsidR="00537D74" w:rsidRPr="00537D74" w:rsidRDefault="00537D74" w:rsidP="00537D74">
      <w:r w:rsidRPr="00537D74">
        <w:t xml:space="preserve">”Det var vist en fjæsing, mumlede Anton </w:t>
      </w:r>
      <w:proofErr w:type="spellStart"/>
      <w:r w:rsidRPr="00537D74">
        <w:t>Knupper</w:t>
      </w:r>
      <w:proofErr w:type="spellEnd"/>
      <w:r w:rsidRPr="00537D74">
        <w:t xml:space="preserve"> […]. Sug det ud, så godt du kan, Laust. Om du ikke har terpentin, kan du få hos mig. / Æ skal ikke have gjort noget ved det, svarede Laust Sand […]. Det var Gud selv, som havde dømt.”</w:t>
      </w:r>
      <w:r>
        <w:rPr>
          <w:rStyle w:val="Fodnotehenvisning"/>
        </w:rPr>
        <w:footnoteReference w:id="1"/>
      </w:r>
    </w:p>
    <w:p w14:paraId="1135A7FE" w14:textId="77777777" w:rsidR="00537D74" w:rsidRPr="00537D74" w:rsidRDefault="00537D74" w:rsidP="00537D74">
      <w:r w:rsidRPr="00537D74">
        <w:t xml:space="preserve">Foregående indrømmede Laust Sand at have gjort sin steddatter gravid, og vi læsere må tolke os frem til, at Laust derfor fravælger modgiften, da han selv mener, at det er guds straf. Selvom bogen blev udgivet tilbage i 1928, synes jeg stadigvæk, at konflikten er superrelevant for os i dag. Specielt tager konflikten her fat på etik og religion, og tvinger altså læseren til at tage stilling. Mens vi læser, må vi altså aktivt spørge os selv: ”fortjente han virkelig at dø?” Religion er måske ikke lige så relevant i dagens Danmark som før, hvorfor konflikten faktisk grunder sig meget dybere end blot tro. Scenen vrider i læserens </w:t>
      </w:r>
    </w:p>
    <w:p w14:paraId="3963AF63" w14:textId="527A6BAD" w:rsidR="00537D74" w:rsidRDefault="00537D74" w:rsidP="00537D74">
      <w:r w:rsidRPr="00537D74">
        <w:t>værdisæt, hvor produktet af det må være en aktiv holdning eller idé, der egentligt stammer fra det komplekse i at være menneske.</w:t>
      </w:r>
    </w:p>
    <w:sectPr w:rsidR="00537D7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31E7" w14:textId="77777777" w:rsidR="0089438E" w:rsidRDefault="0089438E" w:rsidP="00537D74">
      <w:pPr>
        <w:spacing w:after="0" w:line="240" w:lineRule="auto"/>
      </w:pPr>
      <w:r>
        <w:separator/>
      </w:r>
    </w:p>
  </w:endnote>
  <w:endnote w:type="continuationSeparator" w:id="0">
    <w:p w14:paraId="6146D648" w14:textId="77777777" w:rsidR="0089438E" w:rsidRDefault="0089438E" w:rsidP="0053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8075" w14:textId="77777777" w:rsidR="0089438E" w:rsidRDefault="0089438E" w:rsidP="00537D74">
      <w:pPr>
        <w:spacing w:after="0" w:line="240" w:lineRule="auto"/>
      </w:pPr>
      <w:r>
        <w:separator/>
      </w:r>
    </w:p>
  </w:footnote>
  <w:footnote w:type="continuationSeparator" w:id="0">
    <w:p w14:paraId="6D496959" w14:textId="77777777" w:rsidR="0089438E" w:rsidRDefault="0089438E" w:rsidP="00537D74">
      <w:pPr>
        <w:spacing w:after="0" w:line="240" w:lineRule="auto"/>
      </w:pPr>
      <w:r>
        <w:continuationSeparator/>
      </w:r>
    </w:p>
  </w:footnote>
  <w:footnote w:id="1">
    <w:p w14:paraId="11D88E2D" w14:textId="77777777" w:rsidR="00233104" w:rsidRPr="00537D74" w:rsidRDefault="00537D74" w:rsidP="00233104">
      <w:r>
        <w:rPr>
          <w:rStyle w:val="Fodnotehenvisning"/>
        </w:rPr>
        <w:footnoteRef/>
      </w:r>
      <w:r>
        <w:t xml:space="preserve"> </w:t>
      </w:r>
      <w:r w:rsidR="00233104" w:rsidRPr="00537D74">
        <w:t xml:space="preserve">S. 85, Hans Kirk, 1928 </w:t>
      </w:r>
    </w:p>
    <w:p w14:paraId="13E5FA2D" w14:textId="3BD310E4" w:rsidR="00537D74" w:rsidRDefault="00537D74">
      <w:pPr>
        <w:pStyle w:val="Fodnote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B2"/>
    <w:rsid w:val="000145E1"/>
    <w:rsid w:val="000D4F71"/>
    <w:rsid w:val="000E0F0F"/>
    <w:rsid w:val="000F1D89"/>
    <w:rsid w:val="00101041"/>
    <w:rsid w:val="00133B0D"/>
    <w:rsid w:val="001436E1"/>
    <w:rsid w:val="00157071"/>
    <w:rsid w:val="00167205"/>
    <w:rsid w:val="001B1F71"/>
    <w:rsid w:val="001E5D1C"/>
    <w:rsid w:val="001F768B"/>
    <w:rsid w:val="00233104"/>
    <w:rsid w:val="0023661B"/>
    <w:rsid w:val="00262AC3"/>
    <w:rsid w:val="002F4483"/>
    <w:rsid w:val="00353546"/>
    <w:rsid w:val="00392836"/>
    <w:rsid w:val="003C616E"/>
    <w:rsid w:val="00400785"/>
    <w:rsid w:val="00414240"/>
    <w:rsid w:val="004A0647"/>
    <w:rsid w:val="0050335C"/>
    <w:rsid w:val="00520FE8"/>
    <w:rsid w:val="00523A7B"/>
    <w:rsid w:val="00537D74"/>
    <w:rsid w:val="0056399F"/>
    <w:rsid w:val="00574BA9"/>
    <w:rsid w:val="005F2FA6"/>
    <w:rsid w:val="006C2477"/>
    <w:rsid w:val="00711C61"/>
    <w:rsid w:val="0071789A"/>
    <w:rsid w:val="00836036"/>
    <w:rsid w:val="0089438E"/>
    <w:rsid w:val="008A55BB"/>
    <w:rsid w:val="008D3F0E"/>
    <w:rsid w:val="008F0767"/>
    <w:rsid w:val="00921387"/>
    <w:rsid w:val="0092227B"/>
    <w:rsid w:val="009229B2"/>
    <w:rsid w:val="00923CEE"/>
    <w:rsid w:val="009E5021"/>
    <w:rsid w:val="00A10B25"/>
    <w:rsid w:val="00A55E96"/>
    <w:rsid w:val="00A57EF9"/>
    <w:rsid w:val="00A8403F"/>
    <w:rsid w:val="00AC1B11"/>
    <w:rsid w:val="00B15D24"/>
    <w:rsid w:val="00B33DEB"/>
    <w:rsid w:val="00B72BCF"/>
    <w:rsid w:val="00B77E80"/>
    <w:rsid w:val="00B86D1A"/>
    <w:rsid w:val="00BF5292"/>
    <w:rsid w:val="00C31B54"/>
    <w:rsid w:val="00CC31AE"/>
    <w:rsid w:val="00DB2FAA"/>
    <w:rsid w:val="00E03747"/>
    <w:rsid w:val="00E25B39"/>
    <w:rsid w:val="00E80A49"/>
    <w:rsid w:val="00EF4EE9"/>
    <w:rsid w:val="00F06A83"/>
    <w:rsid w:val="00F41762"/>
    <w:rsid w:val="00F63162"/>
    <w:rsid w:val="00F6629F"/>
    <w:rsid w:val="00F8565D"/>
    <w:rsid w:val="00FB05B2"/>
    <w:rsid w:val="00FC1854"/>
    <w:rsid w:val="00FE64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5CBA"/>
  <w15:docId w15:val="{63BD797E-601C-48B6-A71A-F9D24DFB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B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22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537D7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37D74"/>
    <w:rPr>
      <w:sz w:val="20"/>
      <w:szCs w:val="20"/>
    </w:rPr>
  </w:style>
  <w:style w:type="character" w:styleId="Fodnotehenvisning">
    <w:name w:val="footnote reference"/>
    <w:basedOn w:val="Standardskrifttypeiafsnit"/>
    <w:uiPriority w:val="99"/>
    <w:semiHidden/>
    <w:unhideWhenUsed/>
    <w:rsid w:val="00537D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969187">
      <w:bodyDiv w:val="1"/>
      <w:marLeft w:val="0"/>
      <w:marRight w:val="0"/>
      <w:marTop w:val="0"/>
      <w:marBottom w:val="0"/>
      <w:divBdr>
        <w:top w:val="none" w:sz="0" w:space="0" w:color="auto"/>
        <w:left w:val="none" w:sz="0" w:space="0" w:color="auto"/>
        <w:bottom w:val="none" w:sz="0" w:space="0" w:color="auto"/>
        <w:right w:val="none" w:sz="0" w:space="0" w:color="auto"/>
      </w:divBdr>
    </w:div>
    <w:div w:id="20221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A731-4C37-43C5-A90F-FDE99DF0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3</Pages>
  <Words>840</Words>
  <Characters>5131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 Vejlgaard Sørensen</cp:lastModifiedBy>
  <cp:revision>49</cp:revision>
  <dcterms:created xsi:type="dcterms:W3CDTF">2025-04-02T07:51:00Z</dcterms:created>
  <dcterms:modified xsi:type="dcterms:W3CDTF">2025-04-07T09:38:00Z</dcterms:modified>
</cp:coreProperties>
</file>