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7702" w14:textId="59C90050" w:rsidR="0076768A" w:rsidRPr="0076768A" w:rsidRDefault="0076768A" w:rsidP="0076768A">
      <w:pPr>
        <w:shd w:val="clear" w:color="auto" w:fill="FFFFFF"/>
        <w:spacing w:after="0" w:line="240" w:lineRule="auto"/>
        <w:rPr>
          <w:rFonts w:ascii="Noto Sans" w:eastAsia="Times New Roman" w:hAnsi="Noto Sans" w:cs="Noto Sans"/>
          <w:color w:val="767676"/>
          <w:kern w:val="0"/>
          <w:sz w:val="26"/>
          <w:szCs w:val="26"/>
          <w:lang w:eastAsia="da-DK"/>
          <w14:ligatures w14:val="none"/>
        </w:rPr>
      </w:pPr>
      <w:r w:rsidRPr="0076768A">
        <w:rPr>
          <w:rFonts w:ascii="Noto Sans" w:eastAsia="Times New Roman" w:hAnsi="Noto Sans" w:cs="Noto Sans"/>
          <w:color w:val="767676"/>
          <w:kern w:val="0"/>
          <w:sz w:val="26"/>
          <w:szCs w:val="26"/>
          <w:lang w:eastAsia="da-DK"/>
          <w14:ligatures w14:val="none"/>
        </w:rPr>
        <w:fldChar w:fldCharType="begin"/>
      </w:r>
      <w:r w:rsidRPr="0076768A">
        <w:rPr>
          <w:rFonts w:ascii="Noto Sans" w:eastAsia="Times New Roman" w:hAnsi="Noto Sans" w:cs="Noto Sans"/>
          <w:color w:val="767676"/>
          <w:kern w:val="0"/>
          <w:sz w:val="26"/>
          <w:szCs w:val="26"/>
          <w:lang w:eastAsia="da-DK"/>
          <w14:ligatures w14:val="none"/>
        </w:rPr>
        <w:instrText>HYPERLINK "https://fraantikkentileuropaeiskekspansion.systime.dk/?id=1"</w:instrText>
      </w:r>
      <w:r w:rsidRPr="0076768A">
        <w:rPr>
          <w:rFonts w:ascii="Noto Sans" w:eastAsia="Times New Roman" w:hAnsi="Noto Sans" w:cs="Noto Sans"/>
          <w:color w:val="767676"/>
          <w:kern w:val="0"/>
          <w:sz w:val="26"/>
          <w:szCs w:val="26"/>
          <w:lang w:eastAsia="da-DK"/>
          <w14:ligatures w14:val="none"/>
        </w:rPr>
      </w:r>
      <w:r w:rsidRPr="0076768A">
        <w:rPr>
          <w:rFonts w:ascii="Noto Sans" w:eastAsia="Times New Roman" w:hAnsi="Noto Sans" w:cs="Noto Sans"/>
          <w:color w:val="767676"/>
          <w:kern w:val="0"/>
          <w:sz w:val="26"/>
          <w:szCs w:val="26"/>
          <w:lang w:eastAsia="da-DK"/>
          <w14:ligatures w14:val="none"/>
        </w:rPr>
        <w:fldChar w:fldCharType="separate"/>
      </w:r>
      <w:r w:rsidRPr="0076768A">
        <w:rPr>
          <w:rFonts w:ascii="Noto Sans" w:eastAsia="Times New Roman" w:hAnsi="Noto Sans" w:cs="Noto Sans"/>
          <w:color w:val="767676"/>
          <w:kern w:val="0"/>
          <w:sz w:val="26"/>
          <w:szCs w:val="26"/>
          <w:lang w:eastAsia="da-DK"/>
          <w14:ligatures w14:val="none"/>
        </w:rPr>
        <w:t>Fokus – kernestof i historie 1. Fra antikken til europæisk ekspansion</w:t>
      </w:r>
      <w:r w:rsidRPr="0076768A">
        <w:rPr>
          <w:rFonts w:ascii="Noto Sans" w:eastAsia="Times New Roman" w:hAnsi="Noto Sans" w:cs="Noto Sans"/>
          <w:color w:val="767676"/>
          <w:kern w:val="0"/>
          <w:sz w:val="26"/>
          <w:szCs w:val="26"/>
          <w:lang w:eastAsia="da-DK"/>
          <w14:ligatures w14:val="none"/>
        </w:rPr>
        <w:fldChar w:fldCharType="end"/>
      </w:r>
      <w:r>
        <w:rPr>
          <w:rFonts w:ascii="Noto Sans" w:eastAsia="Times New Roman" w:hAnsi="Noto Sans" w:cs="Noto Sans"/>
          <w:color w:val="767676"/>
          <w:kern w:val="0"/>
          <w:sz w:val="26"/>
          <w:szCs w:val="26"/>
          <w:lang w:eastAsia="da-DK"/>
          <w14:ligatures w14:val="none"/>
        </w:rPr>
        <w:t>, s. 125-130</w:t>
      </w:r>
    </w:p>
    <w:p w14:paraId="1722533C" w14:textId="77777777" w:rsidR="0076768A" w:rsidRDefault="0076768A" w:rsidP="0076768A">
      <w:pPr>
        <w:shd w:val="clear" w:color="auto" w:fill="FFFFFF"/>
        <w:spacing w:after="0" w:line="240" w:lineRule="auto"/>
        <w:outlineLvl w:val="0"/>
        <w:rPr>
          <w:rFonts w:ascii="Volkhov" w:eastAsia="Times New Roman" w:hAnsi="Volkhov" w:cs="Noto Sans"/>
          <w:b/>
          <w:bCs/>
          <w:color w:val="333333"/>
          <w:kern w:val="36"/>
          <w:sz w:val="42"/>
          <w:szCs w:val="42"/>
          <w:lang w:eastAsia="da-DK"/>
          <w14:ligatures w14:val="none"/>
        </w:rPr>
      </w:pPr>
    </w:p>
    <w:p w14:paraId="1C413B81" w14:textId="05C95083" w:rsidR="0076768A" w:rsidRPr="0076768A" w:rsidRDefault="0076768A" w:rsidP="0076768A">
      <w:pPr>
        <w:shd w:val="clear" w:color="auto" w:fill="FFFFFF"/>
        <w:spacing w:after="0" w:line="240" w:lineRule="auto"/>
        <w:outlineLvl w:val="0"/>
        <w:rPr>
          <w:rFonts w:ascii="Volkhov" w:eastAsia="Times New Roman" w:hAnsi="Volkhov" w:cs="Noto Sans"/>
          <w:b/>
          <w:bCs/>
          <w:color w:val="333333"/>
          <w:kern w:val="36"/>
          <w:sz w:val="42"/>
          <w:szCs w:val="42"/>
          <w:lang w:eastAsia="da-DK"/>
          <w14:ligatures w14:val="none"/>
        </w:rPr>
      </w:pPr>
      <w:r w:rsidRPr="0076768A">
        <w:rPr>
          <w:rFonts w:ascii="Volkhov" w:eastAsia="Times New Roman" w:hAnsi="Volkhov" w:cs="Noto Sans"/>
          <w:b/>
          <w:bCs/>
          <w:color w:val="333333"/>
          <w:kern w:val="36"/>
          <w:sz w:val="42"/>
          <w:szCs w:val="42"/>
          <w:lang w:eastAsia="da-DK"/>
          <w14:ligatures w14:val="none"/>
        </w:rPr>
        <w:t>Kristendom og islam – middelalderens kulturmøde</w:t>
      </w:r>
    </w:p>
    <w:p w14:paraId="0D948B0C"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 xml:space="preserve">Kristen og muslimsk kultur har vævet sig ind og ud af hinanden gennem historien, og det har præget både den kristne og den muslimske verden op til </w:t>
      </w:r>
      <w:proofErr w:type="gramStart"/>
      <w:r w:rsidRPr="0076768A">
        <w:rPr>
          <w:rFonts w:ascii="Noto Sans" w:eastAsia="Times New Roman" w:hAnsi="Noto Sans" w:cs="Noto Sans"/>
          <w:color w:val="333333"/>
          <w:kern w:val="0"/>
          <w:sz w:val="26"/>
          <w:szCs w:val="26"/>
          <w:lang w:eastAsia="da-DK"/>
          <w14:ligatures w14:val="none"/>
        </w:rPr>
        <w:t>vor</w:t>
      </w:r>
      <w:proofErr w:type="gramEnd"/>
      <w:r w:rsidRPr="0076768A">
        <w:rPr>
          <w:rFonts w:ascii="Noto Sans" w:eastAsia="Times New Roman" w:hAnsi="Noto Sans" w:cs="Noto Sans"/>
          <w:color w:val="333333"/>
          <w:kern w:val="0"/>
          <w:sz w:val="26"/>
          <w:szCs w:val="26"/>
          <w:lang w:eastAsia="da-DK"/>
          <w14:ligatures w14:val="none"/>
        </w:rPr>
        <w:t xml:space="preserve"> egen tid.</w:t>
      </w:r>
    </w:p>
    <w:p w14:paraId="16A71444" w14:textId="77777777" w:rsid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Mødet mellem den kristne og den muslimske verden har sat sig spor i en lang række konflikter, fra islams opståen og ekspansion, over korstogene til Spaniens generobring. Samtidig har der også været tale om et egentligt kulturmøde: Lange perioder med fredelig sameksistens, hvor der skete en frugtbar udveksling af viden og kultur.</w:t>
      </w:r>
    </w:p>
    <w:p w14:paraId="1BAC023F" w14:textId="77777777" w:rsid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p>
    <w:p w14:paraId="732A6EC1" w14:textId="77777777" w:rsidR="0076768A" w:rsidRP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p>
    <w:p w14:paraId="54D16EE6" w14:textId="77777777" w:rsidR="0076768A" w:rsidRPr="0076768A" w:rsidRDefault="0076768A" w:rsidP="0076768A">
      <w:pPr>
        <w:shd w:val="clear" w:color="auto" w:fill="FFFFFF"/>
        <w:spacing w:after="0" w:line="240" w:lineRule="auto"/>
        <w:outlineLvl w:val="0"/>
        <w:rPr>
          <w:rFonts w:ascii="Volkhov" w:eastAsia="Times New Roman" w:hAnsi="Volkhov" w:cs="Noto Sans"/>
          <w:b/>
          <w:bCs/>
          <w:color w:val="333333"/>
          <w:kern w:val="36"/>
          <w:sz w:val="42"/>
          <w:szCs w:val="42"/>
          <w:lang w:eastAsia="da-DK"/>
          <w14:ligatures w14:val="none"/>
        </w:rPr>
      </w:pPr>
      <w:r w:rsidRPr="0076768A">
        <w:rPr>
          <w:rFonts w:ascii="Volkhov" w:eastAsia="Times New Roman" w:hAnsi="Volkhov" w:cs="Noto Sans"/>
          <w:b/>
          <w:bCs/>
          <w:color w:val="333333"/>
          <w:kern w:val="36"/>
          <w:sz w:val="42"/>
          <w:szCs w:val="42"/>
          <w:lang w:eastAsia="da-DK"/>
          <w14:ligatures w14:val="none"/>
        </w:rPr>
        <w:t>Én sand gud?</w:t>
      </w:r>
    </w:p>
    <w:p w14:paraId="019861FF"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Jødedom, kristendom og islam minder om hinanden, på den måde at de alle tror på én sand gud. Den jødiske monoteisme er ældst og har givet inspiration til både kristendommen og islam. Men på trods af slægtskabet blev der tale om tre selvstændige religioner, hvis tilhængere på ingen måde kunne indgå i et fælles trossamfund.</w:t>
      </w:r>
    </w:p>
    <w:p w14:paraId="4DF43174"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Kristendommen, der havde sit udgangspunkt i den jødiske messiasforventning, mente, at Messias var kommet i skikkelse af Jesus Kristus (Kristus er det græske ord for Messias). Men denne opfattelse blev forkastet af jøderne, der endnu i dag venter på Messias’ komme.</w:t>
      </w:r>
    </w:p>
    <w:p w14:paraId="2C1A035D"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 xml:space="preserve">Islams grundlægger, Muhammed, der kendte til jødedom og kristendom fra den arabiske halvø, fik sin første åbenbaring i 610 e.Kr. Her, og i flere senere åbenbaringer, oplevede Muhammed, at Koranen – islams hellige skrift – så at sige blev dikteret til ham af englen Gabriel. Muhammed godtog, at jøderne tidligere havde modtaget Moseloven som en åbenbaring, og at det kristne evangelium var givet af Gud gennem Jesus, men hævdede meget bestemt at det først var gennem ham selv, Muhammed, at Guds vilje blev åbenbaret i sit fulde omfang. Tilsvarende anerkendte Muhammed, at der havde været mange </w:t>
      </w:r>
      <w:r w:rsidRPr="0076768A">
        <w:rPr>
          <w:rFonts w:ascii="Noto Sans" w:eastAsia="Times New Roman" w:hAnsi="Noto Sans" w:cs="Noto Sans"/>
          <w:color w:val="333333"/>
          <w:kern w:val="0"/>
          <w:sz w:val="26"/>
          <w:szCs w:val="26"/>
          <w:lang w:eastAsia="da-DK"/>
          <w14:ligatures w14:val="none"/>
        </w:rPr>
        <w:lastRenderedPageBreak/>
        <w:t>profeter før ham, men at han selv var den, der overbragte den endegyldige guddommelige sandhed. Han var ”profeternes segl”.</w:t>
      </w:r>
    </w:p>
    <w:p w14:paraId="7CFFCC04" w14:textId="77777777" w:rsidR="0076768A" w:rsidRP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Det var konfliktstoffet, der kom til at dominere forholdet mellem de tre religioner. Muhammed så fx islam som identisk med den religion, Gud havde åbenbaret i sin pagt med Abraham (Ibrahim), den første af Bibelens israelitiske patriarker. Dermed kunne han hævde, at islam, den yngste af de tre store vestlige religioner, i virkeligheden var mere oprindelig end jødedommen, der jo bestemt anså sig selv som den ældste og sande religion. Og de kristne, der opfattede Jesus som Kristus og Guds søn, kunne ikke affinde sig med, at jøderne benægtede hans værdighed som Messias, og at islam kun betragtede Jesus som en profet.</w:t>
      </w:r>
    </w:p>
    <w:p w14:paraId="42E89890" w14:textId="77777777" w:rsidR="0076768A" w:rsidRPr="0076768A" w:rsidRDefault="0076768A" w:rsidP="0076768A">
      <w:pPr>
        <w:shd w:val="clear" w:color="auto" w:fill="FFFFFF"/>
        <w:spacing w:after="0" w:line="240" w:lineRule="auto"/>
        <w:outlineLvl w:val="0"/>
        <w:rPr>
          <w:rFonts w:ascii="Volkhov" w:eastAsia="Times New Roman" w:hAnsi="Volkhov" w:cs="Noto Sans"/>
          <w:b/>
          <w:bCs/>
          <w:color w:val="333333"/>
          <w:kern w:val="36"/>
          <w:sz w:val="42"/>
          <w:szCs w:val="42"/>
          <w:lang w:eastAsia="da-DK"/>
          <w14:ligatures w14:val="none"/>
        </w:rPr>
      </w:pPr>
      <w:r w:rsidRPr="0076768A">
        <w:rPr>
          <w:rFonts w:ascii="Volkhov" w:eastAsia="Times New Roman" w:hAnsi="Volkhov" w:cs="Noto Sans"/>
          <w:b/>
          <w:bCs/>
          <w:color w:val="333333"/>
          <w:kern w:val="36"/>
          <w:sz w:val="42"/>
          <w:szCs w:val="42"/>
          <w:lang w:eastAsia="da-DK"/>
          <w14:ligatures w14:val="none"/>
        </w:rPr>
        <w:t>Islams ekspansion</w:t>
      </w:r>
    </w:p>
    <w:p w14:paraId="7031997C"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Før islam var den arabiske halvø opdelt mellem en række stammer, der konkurrerede om de sparsomme ressourcer. Krig og raids mod fjendtligsindede stammer havde været en del af dagens orden i århundreder. Islam var et opgør med den polyteisme, der tidligere havde domineret den arabiske halvø, og da Muhammed og hans tilhængere i 630 e.Kr. erobrede Mekka, var der skabt en ny samlende kraft blandt araberne.</w:t>
      </w:r>
    </w:p>
    <w:p w14:paraId="39DA2DB2" w14:textId="77777777" w:rsidR="0076768A" w:rsidRP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 xml:space="preserve">Efterhånden, som det lykkedes at samle en alliance af stammer, der gik over til islam, blev energien rettet mod områder uden for Den Arabiske Halvø. I begyndelsen handlede krigstogterne om at hjembringe bytte, men i takt med de arabiske krigeres succes udviklede togterne sig til omfattende erobringer. I vest mistede det kristne Byzans efter slaget ved </w:t>
      </w:r>
      <w:proofErr w:type="spellStart"/>
      <w:r w:rsidRPr="0076768A">
        <w:rPr>
          <w:rFonts w:ascii="Noto Sans" w:eastAsia="Times New Roman" w:hAnsi="Noto Sans" w:cs="Noto Sans"/>
          <w:color w:val="333333"/>
          <w:kern w:val="0"/>
          <w:sz w:val="26"/>
          <w:szCs w:val="26"/>
          <w:lang w:eastAsia="da-DK"/>
          <w14:ligatures w14:val="none"/>
        </w:rPr>
        <w:t>Yarmuk</w:t>
      </w:r>
      <w:proofErr w:type="spellEnd"/>
      <w:r w:rsidRPr="0076768A">
        <w:rPr>
          <w:rFonts w:ascii="Noto Sans" w:eastAsia="Times New Roman" w:hAnsi="Noto Sans" w:cs="Noto Sans"/>
          <w:color w:val="333333"/>
          <w:kern w:val="0"/>
          <w:sz w:val="26"/>
          <w:szCs w:val="26"/>
          <w:lang w:eastAsia="da-DK"/>
          <w14:ligatures w14:val="none"/>
        </w:rPr>
        <w:t xml:space="preserve"> i 636 sine besiddelser i Syrien, Palæstina og Egypten, og i øst gik det persiske </w:t>
      </w:r>
      <w:proofErr w:type="spellStart"/>
      <w:r w:rsidRPr="0076768A">
        <w:rPr>
          <w:rFonts w:ascii="Noto Sans" w:eastAsia="Times New Roman" w:hAnsi="Noto Sans" w:cs="Noto Sans"/>
          <w:color w:val="333333"/>
          <w:kern w:val="0"/>
          <w:sz w:val="26"/>
          <w:szCs w:val="26"/>
          <w:lang w:eastAsia="da-DK"/>
          <w14:ligatures w14:val="none"/>
        </w:rPr>
        <w:t>Sasaniderige</w:t>
      </w:r>
      <w:proofErr w:type="spellEnd"/>
      <w:r w:rsidRPr="0076768A">
        <w:rPr>
          <w:rFonts w:ascii="Noto Sans" w:eastAsia="Times New Roman" w:hAnsi="Noto Sans" w:cs="Noto Sans"/>
          <w:color w:val="333333"/>
          <w:kern w:val="0"/>
          <w:sz w:val="26"/>
          <w:szCs w:val="26"/>
          <w:lang w:eastAsia="da-DK"/>
          <w14:ligatures w14:val="none"/>
        </w:rPr>
        <w:t xml:space="preserve"> under i 637. Omkring år 750 var det muslimske rige et af de største i menneskehedens historie, strækkende sig fra Spanien til Pakistan. Men det kæmpestore rige begyndte snart at falde fra hinanden i et væld af småriger. Efter den første tids ekspansion og dynamik blev den muslimske verden, selv om den blomstrede kulturelt, præget af intern politisk og religiøs splittelse.</w:t>
      </w:r>
    </w:p>
    <w:p w14:paraId="31A49E53" w14:textId="77777777" w:rsidR="0076768A" w:rsidRDefault="0076768A" w:rsidP="0076768A">
      <w:pPr>
        <w:shd w:val="clear" w:color="auto" w:fill="FFFFFF"/>
        <w:spacing w:after="0" w:line="240" w:lineRule="auto"/>
        <w:outlineLvl w:val="0"/>
        <w:rPr>
          <w:rFonts w:ascii="Volkhov" w:eastAsia="Times New Roman" w:hAnsi="Volkhov" w:cs="Noto Sans"/>
          <w:b/>
          <w:bCs/>
          <w:color w:val="333333"/>
          <w:kern w:val="36"/>
          <w:sz w:val="42"/>
          <w:szCs w:val="42"/>
          <w:lang w:eastAsia="da-DK"/>
          <w14:ligatures w14:val="none"/>
        </w:rPr>
      </w:pPr>
    </w:p>
    <w:p w14:paraId="4F014718" w14:textId="335727F5" w:rsidR="0076768A" w:rsidRPr="0076768A" w:rsidRDefault="0076768A" w:rsidP="0076768A">
      <w:pPr>
        <w:shd w:val="clear" w:color="auto" w:fill="FFFFFF"/>
        <w:spacing w:after="0" w:line="240" w:lineRule="auto"/>
        <w:outlineLvl w:val="0"/>
        <w:rPr>
          <w:rFonts w:ascii="Volkhov" w:eastAsia="Times New Roman" w:hAnsi="Volkhov" w:cs="Noto Sans"/>
          <w:b/>
          <w:bCs/>
          <w:color w:val="333333"/>
          <w:kern w:val="36"/>
          <w:sz w:val="42"/>
          <w:szCs w:val="42"/>
          <w:lang w:eastAsia="da-DK"/>
          <w14:ligatures w14:val="none"/>
        </w:rPr>
      </w:pPr>
      <w:r w:rsidRPr="0076768A">
        <w:rPr>
          <w:rFonts w:ascii="Volkhov" w:eastAsia="Times New Roman" w:hAnsi="Volkhov" w:cs="Noto Sans"/>
          <w:b/>
          <w:bCs/>
          <w:color w:val="333333"/>
          <w:kern w:val="36"/>
          <w:sz w:val="42"/>
          <w:szCs w:val="42"/>
          <w:lang w:eastAsia="da-DK"/>
          <w14:ligatures w14:val="none"/>
        </w:rPr>
        <w:t>Jøder og kristne under muslimsk styre</w:t>
      </w:r>
    </w:p>
    <w:p w14:paraId="7F113935" w14:textId="77777777" w:rsid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 xml:space="preserve">Befolkningen i Mellemøsten var hovedsageligt kristen, da området blev erobret af araberne. Før erobringen var de kristne splittet mellem den </w:t>
      </w:r>
      <w:r w:rsidRPr="0076768A">
        <w:rPr>
          <w:rFonts w:ascii="Noto Sans" w:eastAsia="Times New Roman" w:hAnsi="Noto Sans" w:cs="Noto Sans"/>
          <w:color w:val="333333"/>
          <w:kern w:val="0"/>
          <w:sz w:val="26"/>
          <w:szCs w:val="26"/>
          <w:lang w:eastAsia="da-DK"/>
          <w14:ligatures w14:val="none"/>
        </w:rPr>
        <w:lastRenderedPageBreak/>
        <w:t>ortodokse kejserkirke og en række andre kirkesamfund, der blev forfulgt, fordi de på vigtige punkter afveg fra den ortodokse kejserkirke.</w:t>
      </w:r>
    </w:p>
    <w:p w14:paraId="21396EAA" w14:textId="77777777" w:rsidR="0076768A" w:rsidRPr="0076768A" w:rsidRDefault="0076768A" w:rsidP="0076768A">
      <w:pPr>
        <w:shd w:val="clear" w:color="auto" w:fill="FFFFFF"/>
        <w:spacing w:after="0" w:line="240" w:lineRule="auto"/>
        <w:rPr>
          <w:rFonts w:ascii="Noto Sans" w:eastAsia="Times New Roman" w:hAnsi="Noto Sans" w:cs="Noto Sans"/>
          <w:color w:val="333333"/>
          <w:kern w:val="0"/>
          <w:sz w:val="26"/>
          <w:szCs w:val="26"/>
          <w:lang w:eastAsia="da-DK"/>
          <w14:ligatures w14:val="none"/>
        </w:rPr>
      </w:pPr>
    </w:p>
    <w:p w14:paraId="3142E6B6" w14:textId="7A6D92C1" w:rsidR="0076768A" w:rsidRPr="0076768A" w:rsidRDefault="0076768A" w:rsidP="0076768A">
      <w:pPr>
        <w:shd w:val="clear" w:color="auto" w:fill="8EAADB" w:themeFill="accent1" w:themeFillTint="99"/>
        <w:spacing w:after="0" w:line="541" w:lineRule="atLeast"/>
        <w:outlineLvl w:val="2"/>
        <w:rPr>
          <w:rFonts w:ascii="Volkhov" w:eastAsia="Times New Roman" w:hAnsi="Volkhov" w:cs="Noto Sans"/>
          <w:b/>
          <w:bCs/>
          <w:color w:val="333333"/>
          <w:kern w:val="0"/>
          <w:sz w:val="33"/>
          <w:szCs w:val="33"/>
          <w:lang w:eastAsia="da-DK"/>
          <w14:ligatures w14:val="none"/>
        </w:rPr>
      </w:pPr>
      <w:r>
        <w:rPr>
          <w:rFonts w:ascii="Volkhov" w:eastAsia="Times New Roman" w:hAnsi="Volkhov" w:cs="Noto Sans"/>
          <w:b/>
          <w:bCs/>
          <w:color w:val="333333"/>
          <w:kern w:val="0"/>
          <w:sz w:val="33"/>
          <w:szCs w:val="33"/>
          <w:lang w:eastAsia="da-DK"/>
          <w14:ligatures w14:val="none"/>
        </w:rPr>
        <w:t>K</w:t>
      </w:r>
      <w:r w:rsidRPr="0076768A">
        <w:rPr>
          <w:rFonts w:ascii="Volkhov" w:eastAsia="Times New Roman" w:hAnsi="Volkhov" w:cs="Noto Sans"/>
          <w:b/>
          <w:bCs/>
          <w:color w:val="333333"/>
          <w:kern w:val="0"/>
          <w:sz w:val="33"/>
          <w:szCs w:val="33"/>
          <w:lang w:eastAsia="da-DK"/>
          <w14:ligatures w14:val="none"/>
        </w:rPr>
        <w:t>ALIFATET, SUNNI- OG SHIA-ISLAM</w:t>
      </w:r>
    </w:p>
    <w:p w14:paraId="6E99A377" w14:textId="77777777" w:rsidR="0076768A" w:rsidRPr="0076768A" w:rsidRDefault="0076768A" w:rsidP="0076768A">
      <w:pPr>
        <w:shd w:val="clear" w:color="auto" w:fill="8EAADB" w:themeFill="accent1" w:themeFillTint="99"/>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Allerede ved Muhammeds død i 632 begyndte de første overvejelser over, hvem der skulle efterfølge ham som leder af det muslimske samfund, og det udløste den splittelse mellem sunni og shia, som har præget islam lige siden.</w:t>
      </w:r>
    </w:p>
    <w:p w14:paraId="1720F3C9" w14:textId="77777777" w:rsidR="0076768A" w:rsidRPr="0076768A" w:rsidRDefault="0076768A" w:rsidP="0076768A">
      <w:pPr>
        <w:shd w:val="clear" w:color="auto" w:fill="8EAADB" w:themeFill="accent1" w:themeFillTint="99"/>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I første omgang enedes man om at udpege en kalif, dvs. stedfortræder, blandt Muhammeds nærmeste samarbejdspartnere. Denne kalif påtog sig at lede muslimerne ud fra, hvad der havde været Muhammeds sædvane (</w:t>
      </w:r>
      <w:proofErr w:type="spellStart"/>
      <w:r w:rsidRPr="0076768A">
        <w:rPr>
          <w:rFonts w:ascii="Noto Sans" w:eastAsia="Times New Roman" w:hAnsi="Noto Sans" w:cs="Noto Sans"/>
          <w:color w:val="333333"/>
          <w:kern w:val="0"/>
          <w:sz w:val="26"/>
          <w:szCs w:val="26"/>
          <w:lang w:eastAsia="da-DK"/>
          <w14:ligatures w14:val="none"/>
        </w:rPr>
        <w:t>sunna</w:t>
      </w:r>
      <w:proofErr w:type="spellEnd"/>
      <w:r w:rsidRPr="0076768A">
        <w:rPr>
          <w:rFonts w:ascii="Noto Sans" w:eastAsia="Times New Roman" w:hAnsi="Noto Sans" w:cs="Noto Sans"/>
          <w:color w:val="333333"/>
          <w:kern w:val="0"/>
          <w:sz w:val="26"/>
          <w:szCs w:val="26"/>
          <w:lang w:eastAsia="da-DK"/>
          <w14:ligatures w14:val="none"/>
        </w:rPr>
        <w:t>). Snart opstod der dyb uenighed, da en gruppe mente, at den rette kalif måtte være en efterkommer af Muhammed gennem hans datter Fatima og svigersønnen Ali. Gruppen blev kaldt ”Alis parti” (</w:t>
      </w:r>
      <w:proofErr w:type="spellStart"/>
      <w:r w:rsidRPr="0076768A">
        <w:rPr>
          <w:rFonts w:ascii="Noto Sans" w:eastAsia="Times New Roman" w:hAnsi="Noto Sans" w:cs="Noto Sans"/>
          <w:color w:val="333333"/>
          <w:kern w:val="0"/>
          <w:sz w:val="26"/>
          <w:szCs w:val="26"/>
          <w:lang w:eastAsia="da-DK"/>
          <w14:ligatures w14:val="none"/>
        </w:rPr>
        <w:t>shiath</w:t>
      </w:r>
      <w:proofErr w:type="spellEnd"/>
      <w:r w:rsidRPr="0076768A">
        <w:rPr>
          <w:rFonts w:ascii="Noto Sans" w:eastAsia="Times New Roman" w:hAnsi="Noto Sans" w:cs="Noto Sans"/>
          <w:color w:val="333333"/>
          <w:kern w:val="0"/>
          <w:sz w:val="26"/>
          <w:szCs w:val="26"/>
          <w:lang w:eastAsia="da-DK"/>
          <w14:ligatures w14:val="none"/>
        </w:rPr>
        <w:t>-Ali).</w:t>
      </w:r>
    </w:p>
    <w:p w14:paraId="66351AB1" w14:textId="77777777" w:rsidR="0076768A" w:rsidRPr="0076768A" w:rsidRDefault="0076768A" w:rsidP="0076768A">
      <w:pPr>
        <w:shd w:val="clear" w:color="auto" w:fill="8EAADB" w:themeFill="accent1" w:themeFillTint="99"/>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 xml:space="preserve">Det store opgør mellem de to retninger kom i slaget ved </w:t>
      </w:r>
      <w:proofErr w:type="spellStart"/>
      <w:r w:rsidRPr="0076768A">
        <w:rPr>
          <w:rFonts w:ascii="Noto Sans" w:eastAsia="Times New Roman" w:hAnsi="Noto Sans" w:cs="Noto Sans"/>
          <w:color w:val="333333"/>
          <w:kern w:val="0"/>
          <w:sz w:val="26"/>
          <w:szCs w:val="26"/>
          <w:lang w:eastAsia="da-DK"/>
          <w14:ligatures w14:val="none"/>
        </w:rPr>
        <w:t>Kerbela</w:t>
      </w:r>
      <w:proofErr w:type="spellEnd"/>
      <w:r w:rsidRPr="0076768A">
        <w:rPr>
          <w:rFonts w:ascii="Noto Sans" w:eastAsia="Times New Roman" w:hAnsi="Noto Sans" w:cs="Noto Sans"/>
          <w:color w:val="333333"/>
          <w:kern w:val="0"/>
          <w:sz w:val="26"/>
          <w:szCs w:val="26"/>
          <w:lang w:eastAsia="da-DK"/>
          <w14:ligatures w14:val="none"/>
        </w:rPr>
        <w:t xml:space="preserve"> i 680, hvor Muhammeds barnebarn </w:t>
      </w:r>
      <w:proofErr w:type="spellStart"/>
      <w:r w:rsidRPr="0076768A">
        <w:rPr>
          <w:rFonts w:ascii="Noto Sans" w:eastAsia="Times New Roman" w:hAnsi="Noto Sans" w:cs="Noto Sans"/>
          <w:color w:val="333333"/>
          <w:kern w:val="0"/>
          <w:sz w:val="26"/>
          <w:szCs w:val="26"/>
          <w:lang w:eastAsia="da-DK"/>
          <w14:ligatures w14:val="none"/>
        </w:rPr>
        <w:t>Husain</w:t>
      </w:r>
      <w:proofErr w:type="spellEnd"/>
      <w:r w:rsidRPr="0076768A">
        <w:rPr>
          <w:rFonts w:ascii="Noto Sans" w:eastAsia="Times New Roman" w:hAnsi="Noto Sans" w:cs="Noto Sans"/>
          <w:color w:val="333333"/>
          <w:kern w:val="0"/>
          <w:sz w:val="26"/>
          <w:szCs w:val="26"/>
          <w:lang w:eastAsia="da-DK"/>
          <w14:ligatures w14:val="none"/>
        </w:rPr>
        <w:t xml:space="preserve"> blev dræbt. Kalifværdigheden forblev dermed i hænderne på den sunnimuslimske </w:t>
      </w:r>
      <w:proofErr w:type="spellStart"/>
      <w:r w:rsidRPr="0076768A">
        <w:rPr>
          <w:rFonts w:ascii="Noto Sans" w:eastAsia="Times New Roman" w:hAnsi="Noto Sans" w:cs="Noto Sans"/>
          <w:color w:val="333333"/>
          <w:kern w:val="0"/>
          <w:sz w:val="26"/>
          <w:szCs w:val="26"/>
          <w:lang w:eastAsia="da-DK"/>
          <w14:ligatures w14:val="none"/>
        </w:rPr>
        <w:t>umayyadeslægt</w:t>
      </w:r>
      <w:proofErr w:type="spellEnd"/>
      <w:r w:rsidRPr="0076768A">
        <w:rPr>
          <w:rFonts w:ascii="Noto Sans" w:eastAsia="Times New Roman" w:hAnsi="Noto Sans" w:cs="Noto Sans"/>
          <w:color w:val="333333"/>
          <w:kern w:val="0"/>
          <w:sz w:val="26"/>
          <w:szCs w:val="26"/>
          <w:lang w:eastAsia="da-DK"/>
          <w14:ligatures w14:val="none"/>
        </w:rPr>
        <w:t xml:space="preserve"> i Damaskus. I 750 blev magten overtaget af abbaside-slægten, der flyttede kalifatet til Bagdad. Snart herefter begyndte riget at splittes, og en række emirer (fyrster) gjorde sig i praksis uafhængige af kalifatet. Der opstod endda konkurrerende kalifater i Córdoba og Cairo. Sidstnævnte var shiamuslimsk og førte en bevidst undergravende politik over for det sunnimuslimske kalifat i Bagdad.</w:t>
      </w:r>
    </w:p>
    <w:p w14:paraId="1E4DECBE" w14:textId="77777777" w:rsidR="0076768A" w:rsidRPr="0076768A" w:rsidRDefault="0076768A" w:rsidP="0076768A">
      <w:pPr>
        <w:shd w:val="clear" w:color="auto" w:fill="8EAADB" w:themeFill="accent1" w:themeFillTint="99"/>
        <w:spacing w:after="0"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I 1055 trængte en gruppe tyrkere ind i Bagdad, og deres leder udråbte sig til sultan (kaliffens beskytter). Kalifatet bestod, men sultanen overtog den reelle politiske magt.</w:t>
      </w:r>
    </w:p>
    <w:p w14:paraId="2E7FF2D7"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Befolkningen var bebyrdet af høje skatter, og bønderne var underlagt en magtfuld godsejerklasse. Erobringen kom derfor umiddelbart som en lettelse for de lokale kristne. Målet for araberne var ikke at omvende kristne og jøder. De blev kaldt pagtens folk eller ”</w:t>
      </w:r>
      <w:proofErr w:type="spellStart"/>
      <w:r w:rsidRPr="0076768A">
        <w:rPr>
          <w:rFonts w:ascii="Noto Sans" w:eastAsia="Times New Roman" w:hAnsi="Noto Sans" w:cs="Noto Sans"/>
          <w:color w:val="333333"/>
          <w:kern w:val="0"/>
          <w:sz w:val="26"/>
          <w:szCs w:val="26"/>
          <w:lang w:eastAsia="da-DK"/>
          <w14:ligatures w14:val="none"/>
        </w:rPr>
        <w:t>ahl</w:t>
      </w:r>
      <w:proofErr w:type="spellEnd"/>
      <w:r w:rsidRPr="0076768A">
        <w:rPr>
          <w:rFonts w:ascii="Noto Sans" w:eastAsia="Times New Roman" w:hAnsi="Noto Sans" w:cs="Noto Sans"/>
          <w:color w:val="333333"/>
          <w:kern w:val="0"/>
          <w:sz w:val="26"/>
          <w:szCs w:val="26"/>
          <w:lang w:eastAsia="da-DK"/>
          <w14:ligatures w14:val="none"/>
        </w:rPr>
        <w:t xml:space="preserve"> al-</w:t>
      </w:r>
      <w:proofErr w:type="spellStart"/>
      <w:r w:rsidRPr="0076768A">
        <w:rPr>
          <w:rFonts w:ascii="Noto Sans" w:eastAsia="Times New Roman" w:hAnsi="Noto Sans" w:cs="Noto Sans"/>
          <w:color w:val="333333"/>
          <w:kern w:val="0"/>
          <w:sz w:val="26"/>
          <w:szCs w:val="26"/>
          <w:lang w:eastAsia="da-DK"/>
          <w14:ligatures w14:val="none"/>
        </w:rPr>
        <w:t>kitab</w:t>
      </w:r>
      <w:proofErr w:type="spellEnd"/>
      <w:r w:rsidRPr="0076768A">
        <w:rPr>
          <w:rFonts w:ascii="Noto Sans" w:eastAsia="Times New Roman" w:hAnsi="Noto Sans" w:cs="Noto Sans"/>
          <w:color w:val="333333"/>
          <w:kern w:val="0"/>
          <w:sz w:val="26"/>
          <w:szCs w:val="26"/>
          <w:lang w:eastAsia="da-DK"/>
          <w14:ligatures w14:val="none"/>
        </w:rPr>
        <w:t>” (bogens folk), og fordi de havde del i den guddommelige åbenbaring, fik de en særlig status som beskyttede grupper under det muslimske styre. Det vil sige religionsfrihed mod at anerkende muslimsk overhøjhed og mod betaling af en særlig personskat.</w:t>
      </w:r>
    </w:p>
    <w:p w14:paraId="7D93F652"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lastRenderedPageBreak/>
        <w:t>Den såkaldte Omars Pagt kom til at danne forbillede for de aftaler, der blev indgået mellem erobrerne og de erobrede. Dette dokument føres normalt tilbage til kaliffen Omar, og i den muslimske verden er pagten blevet brugt som forbillede for, hvordan kristne skulle behandles. Kristne skulle afstå fra at missionere og vise de ydre tegn på deres tro, som fx at ringe med kirkeklokker. De kunne ikke vidne ved muslimske domstole og fik mindre erstatninger for krænkelser. Kristne måtte heller ikke bære våben eller gifte sig med muslimske kvinder. Lederne af de kristne samfund fik til opgave at sørge for opretholdelse af ro og orden og sikre loyaliteten over for styret.</w:t>
      </w:r>
    </w:p>
    <w:p w14:paraId="305DAE49"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I løbet af middelalderen konverterede det meste af den kristne befolkning i de erobrede områder til islam. Det vides ikke præcist, hvornår eller i hvor store antal omvendelserne fandt sted. I Egypten gjorde de kristne koptere flere gange oprør på grund af hårde skattebyrder, men oprørene blev slået ned med hård hånd.</w:t>
      </w:r>
    </w:p>
    <w:p w14:paraId="14F40229" w14:textId="77777777" w:rsidR="0076768A" w:rsidRPr="0076768A" w:rsidRDefault="0076768A" w:rsidP="0076768A">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76768A">
        <w:rPr>
          <w:rFonts w:ascii="Noto Sans" w:eastAsia="Times New Roman" w:hAnsi="Noto Sans" w:cs="Noto Sans"/>
          <w:color w:val="333333"/>
          <w:kern w:val="0"/>
          <w:sz w:val="26"/>
          <w:szCs w:val="26"/>
          <w:lang w:eastAsia="da-DK"/>
          <w14:ligatures w14:val="none"/>
        </w:rPr>
        <w:t xml:space="preserve">Allerede i 900-tallet var hovedparten af Egyptens befolkning sandsynligvis gået over til islam. I Nordafrika forsvandt kristendommen næsten fuldstændigt i 1100-tallet. I området, der i dag dækker Palæstina/Israel, Jordan, Libanon og Syrien, gik omvendelserne langsommere end i Egypten, </w:t>
      </w:r>
      <w:proofErr w:type="gramStart"/>
      <w:r w:rsidRPr="0076768A">
        <w:rPr>
          <w:rFonts w:ascii="Noto Sans" w:eastAsia="Times New Roman" w:hAnsi="Noto Sans" w:cs="Noto Sans"/>
          <w:color w:val="333333"/>
          <w:kern w:val="0"/>
          <w:sz w:val="26"/>
          <w:szCs w:val="26"/>
          <w:lang w:eastAsia="da-DK"/>
          <w14:ligatures w14:val="none"/>
        </w:rPr>
        <w:t>således at</w:t>
      </w:r>
      <w:proofErr w:type="gramEnd"/>
      <w:r w:rsidRPr="0076768A">
        <w:rPr>
          <w:rFonts w:ascii="Noto Sans" w:eastAsia="Times New Roman" w:hAnsi="Noto Sans" w:cs="Noto Sans"/>
          <w:color w:val="333333"/>
          <w:kern w:val="0"/>
          <w:sz w:val="26"/>
          <w:szCs w:val="26"/>
          <w:lang w:eastAsia="da-DK"/>
          <w14:ligatures w14:val="none"/>
        </w:rPr>
        <w:t xml:space="preserve"> hovedparten af befolkningen omkring 1300 stadig var kristne.</w:t>
      </w:r>
    </w:p>
    <w:p w14:paraId="6474EA52"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Volkhov">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52E03"/>
    <w:multiLevelType w:val="multilevel"/>
    <w:tmpl w:val="A622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B55C37"/>
    <w:multiLevelType w:val="multilevel"/>
    <w:tmpl w:val="D3E0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757639">
    <w:abstractNumId w:val="1"/>
  </w:num>
  <w:num w:numId="2" w16cid:durableId="123831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8A"/>
    <w:rsid w:val="005826C0"/>
    <w:rsid w:val="0076768A"/>
    <w:rsid w:val="00784620"/>
    <w:rsid w:val="007F3A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D098"/>
  <w15:chartTrackingRefBased/>
  <w15:docId w15:val="{7912F249-10E7-4B74-B6F7-D5BEFE10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67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67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6768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6768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6768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676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676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676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6768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6768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6768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6768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6768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6768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6768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6768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6768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6768A"/>
    <w:rPr>
      <w:rFonts w:eastAsiaTheme="majorEastAsia" w:cstheme="majorBidi"/>
      <w:color w:val="272727" w:themeColor="text1" w:themeTint="D8"/>
    </w:rPr>
  </w:style>
  <w:style w:type="paragraph" w:styleId="Titel">
    <w:name w:val="Title"/>
    <w:basedOn w:val="Normal"/>
    <w:next w:val="Normal"/>
    <w:link w:val="TitelTegn"/>
    <w:uiPriority w:val="10"/>
    <w:qFormat/>
    <w:rsid w:val="0076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6768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6768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6768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6768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6768A"/>
    <w:rPr>
      <w:i/>
      <w:iCs/>
      <w:color w:val="404040" w:themeColor="text1" w:themeTint="BF"/>
    </w:rPr>
  </w:style>
  <w:style w:type="paragraph" w:styleId="Listeafsnit">
    <w:name w:val="List Paragraph"/>
    <w:basedOn w:val="Normal"/>
    <w:uiPriority w:val="34"/>
    <w:qFormat/>
    <w:rsid w:val="0076768A"/>
    <w:pPr>
      <w:ind w:left="720"/>
      <w:contextualSpacing/>
    </w:pPr>
  </w:style>
  <w:style w:type="character" w:styleId="Kraftigfremhvning">
    <w:name w:val="Intense Emphasis"/>
    <w:basedOn w:val="Standardskrifttypeiafsnit"/>
    <w:uiPriority w:val="21"/>
    <w:qFormat/>
    <w:rsid w:val="0076768A"/>
    <w:rPr>
      <w:i/>
      <w:iCs/>
      <w:color w:val="2F5496" w:themeColor="accent1" w:themeShade="BF"/>
    </w:rPr>
  </w:style>
  <w:style w:type="paragraph" w:styleId="Strktcitat">
    <w:name w:val="Intense Quote"/>
    <w:basedOn w:val="Normal"/>
    <w:next w:val="Normal"/>
    <w:link w:val="StrktcitatTegn"/>
    <w:uiPriority w:val="30"/>
    <w:qFormat/>
    <w:rsid w:val="00767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6768A"/>
    <w:rPr>
      <w:i/>
      <w:iCs/>
      <w:color w:val="2F5496" w:themeColor="accent1" w:themeShade="BF"/>
    </w:rPr>
  </w:style>
  <w:style w:type="character" w:styleId="Kraftighenvisning">
    <w:name w:val="Intense Reference"/>
    <w:basedOn w:val="Standardskrifttypeiafsnit"/>
    <w:uiPriority w:val="32"/>
    <w:qFormat/>
    <w:rsid w:val="0076768A"/>
    <w:rPr>
      <w:b/>
      <w:bCs/>
      <w:smallCaps/>
      <w:color w:val="2F5496" w:themeColor="accent1" w:themeShade="BF"/>
      <w:spacing w:val="5"/>
    </w:rPr>
  </w:style>
  <w:style w:type="character" w:styleId="Hyperlink">
    <w:name w:val="Hyperlink"/>
    <w:basedOn w:val="Standardskrifttypeiafsnit"/>
    <w:uiPriority w:val="99"/>
    <w:unhideWhenUsed/>
    <w:rsid w:val="0076768A"/>
    <w:rPr>
      <w:color w:val="0563C1" w:themeColor="hyperlink"/>
      <w:u w:val="single"/>
    </w:rPr>
  </w:style>
  <w:style w:type="character" w:styleId="Ulstomtale">
    <w:name w:val="Unresolved Mention"/>
    <w:basedOn w:val="Standardskrifttypeiafsnit"/>
    <w:uiPriority w:val="99"/>
    <w:semiHidden/>
    <w:unhideWhenUsed/>
    <w:rsid w:val="0076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6458</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2025-08-29T06:50:00Z</dcterms:created>
  <dcterms:modified xsi:type="dcterms:W3CDTF">2025-08-29T06:56:00Z</dcterms:modified>
</cp:coreProperties>
</file>