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5A7B0" w14:textId="08C3E0D5" w:rsidR="00CC6BE4" w:rsidRPr="00CC6BE4" w:rsidRDefault="00CC6BE4">
      <w:pPr>
        <w:rPr>
          <w:b/>
          <w:bCs/>
          <w:sz w:val="28"/>
          <w:szCs w:val="28"/>
        </w:rPr>
      </w:pPr>
      <w:r w:rsidRPr="00CC6BE4">
        <w:rPr>
          <w:b/>
          <w:bCs/>
          <w:sz w:val="28"/>
          <w:szCs w:val="28"/>
        </w:rPr>
        <w:t>Indledning til hovedstrømninger i det 19de århundredes litteratur (Brandes). Analyse.</w:t>
      </w:r>
    </w:p>
    <w:tbl>
      <w:tblPr>
        <w:tblStyle w:val="Tabel-Gitter"/>
        <w:tblW w:w="13676" w:type="dxa"/>
        <w:tblLook w:val="04A0" w:firstRow="1" w:lastRow="0" w:firstColumn="1" w:lastColumn="0" w:noHBand="0" w:noVBand="1"/>
      </w:tblPr>
      <w:tblGrid>
        <w:gridCol w:w="3419"/>
        <w:gridCol w:w="3419"/>
        <w:gridCol w:w="3419"/>
        <w:gridCol w:w="3419"/>
      </w:tblGrid>
      <w:tr w:rsidR="00CC6BE4" w14:paraId="23A05E36" w14:textId="77777777" w:rsidTr="00CC6BE4">
        <w:trPr>
          <w:trHeight w:val="705"/>
        </w:trPr>
        <w:tc>
          <w:tcPr>
            <w:tcW w:w="3419" w:type="dxa"/>
            <w:shd w:val="clear" w:color="auto" w:fill="C1E4F5" w:themeFill="accent1" w:themeFillTint="33"/>
          </w:tcPr>
          <w:p w14:paraId="7C0A2350" w14:textId="77777777" w:rsidR="00CC6BE4" w:rsidRDefault="00CC6BE4"/>
        </w:tc>
        <w:tc>
          <w:tcPr>
            <w:tcW w:w="3419" w:type="dxa"/>
            <w:shd w:val="clear" w:color="auto" w:fill="C1E4F5" w:themeFill="accent1" w:themeFillTint="33"/>
          </w:tcPr>
          <w:p w14:paraId="2BF9A3C8" w14:textId="3D89F374" w:rsidR="00CC6BE4" w:rsidRDefault="00CC6BE4">
            <w:r>
              <w:t>Den informative tale</w:t>
            </w:r>
          </w:p>
        </w:tc>
        <w:tc>
          <w:tcPr>
            <w:tcW w:w="3419" w:type="dxa"/>
            <w:shd w:val="clear" w:color="auto" w:fill="C1E4F5" w:themeFill="accent1" w:themeFillTint="33"/>
          </w:tcPr>
          <w:p w14:paraId="230D02E7" w14:textId="2753FCAF" w:rsidR="00CC6BE4" w:rsidRDefault="00CC6BE4">
            <w:r>
              <w:t>Den politiske tale</w:t>
            </w:r>
          </w:p>
        </w:tc>
        <w:tc>
          <w:tcPr>
            <w:tcW w:w="3419" w:type="dxa"/>
            <w:shd w:val="clear" w:color="auto" w:fill="C1E4F5" w:themeFill="accent1" w:themeFillTint="33"/>
          </w:tcPr>
          <w:p w14:paraId="45352A30" w14:textId="72FA75A7" w:rsidR="00CC6BE4" w:rsidRDefault="00CC6BE4">
            <w:r>
              <w:t>Lejlighedstalen</w:t>
            </w:r>
          </w:p>
        </w:tc>
      </w:tr>
      <w:tr w:rsidR="00CC6BE4" w14:paraId="090CB498" w14:textId="77777777" w:rsidTr="00CC6BE4">
        <w:trPr>
          <w:trHeight w:val="873"/>
        </w:trPr>
        <w:tc>
          <w:tcPr>
            <w:tcW w:w="3419" w:type="dxa"/>
            <w:shd w:val="clear" w:color="auto" w:fill="C1E4F5" w:themeFill="accent1" w:themeFillTint="33"/>
          </w:tcPr>
          <w:p w14:paraId="5A4B113C" w14:textId="72E64933" w:rsidR="00CC6BE4" w:rsidRDefault="00CC6BE4">
            <w:r>
              <w:t>Formål</w:t>
            </w:r>
          </w:p>
        </w:tc>
        <w:tc>
          <w:tcPr>
            <w:tcW w:w="3419" w:type="dxa"/>
          </w:tcPr>
          <w:p w14:paraId="130A3257" w14:textId="77777777" w:rsidR="00CC6BE4" w:rsidRDefault="00CC6BE4">
            <w:r>
              <w:t>Forståelse</w:t>
            </w:r>
          </w:p>
          <w:p w14:paraId="0E31D8FE" w14:textId="77777777" w:rsidR="00CC6BE4" w:rsidRDefault="00CC6BE4"/>
          <w:p w14:paraId="209CB59D" w14:textId="77777777" w:rsidR="00CC6BE4" w:rsidRDefault="00CC6BE4"/>
          <w:p w14:paraId="0CE11FEA" w14:textId="77E2DC07" w:rsidR="00CC6BE4" w:rsidRDefault="00CC6BE4"/>
        </w:tc>
        <w:tc>
          <w:tcPr>
            <w:tcW w:w="3419" w:type="dxa"/>
          </w:tcPr>
          <w:p w14:paraId="339203D0" w14:textId="6FCDF075" w:rsidR="00CC6BE4" w:rsidRDefault="00CC6BE4">
            <w:r>
              <w:t>Tilslutning</w:t>
            </w:r>
          </w:p>
        </w:tc>
        <w:tc>
          <w:tcPr>
            <w:tcW w:w="3419" w:type="dxa"/>
          </w:tcPr>
          <w:p w14:paraId="03A9180F" w14:textId="75207E79" w:rsidR="00CC6BE4" w:rsidRDefault="00CC6BE4">
            <w:r>
              <w:t>Oplevelse</w:t>
            </w:r>
          </w:p>
        </w:tc>
      </w:tr>
      <w:tr w:rsidR="00CC6BE4" w14:paraId="6139F558" w14:textId="77777777" w:rsidTr="00CC6BE4">
        <w:trPr>
          <w:trHeight w:val="645"/>
        </w:trPr>
        <w:tc>
          <w:tcPr>
            <w:tcW w:w="3419" w:type="dxa"/>
            <w:shd w:val="clear" w:color="auto" w:fill="C1E4F5" w:themeFill="accent1" w:themeFillTint="33"/>
          </w:tcPr>
          <w:p w14:paraId="4778E716" w14:textId="4B834A45" w:rsidR="00CC6BE4" w:rsidRDefault="00CC6BE4">
            <w:r>
              <w:t>Taleropgave</w:t>
            </w:r>
          </w:p>
        </w:tc>
        <w:tc>
          <w:tcPr>
            <w:tcW w:w="3419" w:type="dxa"/>
          </w:tcPr>
          <w:p w14:paraId="60640364" w14:textId="77777777" w:rsidR="00CC6BE4" w:rsidRDefault="00CC6BE4">
            <w:r>
              <w:t>Belære (informere)</w:t>
            </w:r>
          </w:p>
          <w:p w14:paraId="59D0A3D9" w14:textId="77777777" w:rsidR="00CC6BE4" w:rsidRDefault="00CC6BE4"/>
          <w:p w14:paraId="15A2CF56" w14:textId="77777777" w:rsidR="00CC6BE4" w:rsidRDefault="00CC6BE4"/>
          <w:p w14:paraId="044615DB" w14:textId="6F26C0CD" w:rsidR="00CC6BE4" w:rsidRDefault="00CC6BE4"/>
        </w:tc>
        <w:tc>
          <w:tcPr>
            <w:tcW w:w="3419" w:type="dxa"/>
          </w:tcPr>
          <w:p w14:paraId="0FC12464" w14:textId="2A3ECB46" w:rsidR="00CC6BE4" w:rsidRDefault="00CC6BE4">
            <w:r>
              <w:t>Bevæge/overbevise (flytte holdninger)</w:t>
            </w:r>
          </w:p>
        </w:tc>
        <w:tc>
          <w:tcPr>
            <w:tcW w:w="3419" w:type="dxa"/>
          </w:tcPr>
          <w:p w14:paraId="7F9DBBC8" w14:textId="4585F427" w:rsidR="00CC6BE4" w:rsidRDefault="00CC6BE4">
            <w:r>
              <w:t>Behage (underholde)</w:t>
            </w:r>
          </w:p>
        </w:tc>
      </w:tr>
      <w:tr w:rsidR="00CC6BE4" w14:paraId="484D0E34" w14:textId="77777777" w:rsidTr="00CC6BE4">
        <w:trPr>
          <w:trHeight w:val="873"/>
        </w:trPr>
        <w:tc>
          <w:tcPr>
            <w:tcW w:w="3419" w:type="dxa"/>
            <w:shd w:val="clear" w:color="auto" w:fill="C1E4F5" w:themeFill="accent1" w:themeFillTint="33"/>
          </w:tcPr>
          <w:p w14:paraId="07861D65" w14:textId="0F728AC9" w:rsidR="00CC6BE4" w:rsidRDefault="00CC6BE4">
            <w:r>
              <w:t>Talerressource</w:t>
            </w:r>
          </w:p>
        </w:tc>
        <w:tc>
          <w:tcPr>
            <w:tcW w:w="3419" w:type="dxa"/>
          </w:tcPr>
          <w:p w14:paraId="2FB320B6" w14:textId="77777777" w:rsidR="00CC6BE4" w:rsidRDefault="00CC6BE4">
            <w:r>
              <w:t>Viden</w:t>
            </w:r>
          </w:p>
          <w:p w14:paraId="7DE83F97" w14:textId="77777777" w:rsidR="00CC6BE4" w:rsidRDefault="00CC6BE4"/>
          <w:p w14:paraId="1111243D" w14:textId="77777777" w:rsidR="00CC6BE4" w:rsidRDefault="00CC6BE4"/>
          <w:p w14:paraId="3F2258CC" w14:textId="54FB070F" w:rsidR="00CC6BE4" w:rsidRDefault="00CC6BE4"/>
        </w:tc>
        <w:tc>
          <w:tcPr>
            <w:tcW w:w="3419" w:type="dxa"/>
          </w:tcPr>
          <w:p w14:paraId="23B5714A" w14:textId="7F2F441C" w:rsidR="00CC6BE4" w:rsidRDefault="00CC6BE4">
            <w:r>
              <w:t>Troværdighed</w:t>
            </w:r>
          </w:p>
        </w:tc>
        <w:tc>
          <w:tcPr>
            <w:tcW w:w="3419" w:type="dxa"/>
          </w:tcPr>
          <w:p w14:paraId="02C7DBEF" w14:textId="6FAD7CF8" w:rsidR="00CC6BE4" w:rsidRDefault="00CC6BE4">
            <w:r>
              <w:t>Indføling</w:t>
            </w:r>
          </w:p>
        </w:tc>
      </w:tr>
      <w:tr w:rsidR="00CC6BE4" w14:paraId="4B93C7E7" w14:textId="77777777" w:rsidTr="00CC6BE4">
        <w:trPr>
          <w:trHeight w:val="873"/>
        </w:trPr>
        <w:tc>
          <w:tcPr>
            <w:tcW w:w="3419" w:type="dxa"/>
            <w:shd w:val="clear" w:color="auto" w:fill="C1E4F5" w:themeFill="accent1" w:themeFillTint="33"/>
          </w:tcPr>
          <w:p w14:paraId="4F26CB71" w14:textId="78AF61B0" w:rsidR="00CC6BE4" w:rsidRDefault="00CC6BE4">
            <w:r>
              <w:t>Sprogkrav</w:t>
            </w:r>
          </w:p>
        </w:tc>
        <w:tc>
          <w:tcPr>
            <w:tcW w:w="3419" w:type="dxa"/>
          </w:tcPr>
          <w:p w14:paraId="19BFC11F" w14:textId="77777777" w:rsidR="00CC6BE4" w:rsidRDefault="00CC6BE4">
            <w:r>
              <w:t>Præcision</w:t>
            </w:r>
          </w:p>
          <w:p w14:paraId="4F7158B7" w14:textId="77777777" w:rsidR="00CC6BE4" w:rsidRDefault="00CC6BE4"/>
          <w:p w14:paraId="28AD261E" w14:textId="77777777" w:rsidR="00CC6BE4" w:rsidRDefault="00CC6BE4"/>
          <w:p w14:paraId="1E5783C5" w14:textId="55C4ED7F" w:rsidR="00CC6BE4" w:rsidRDefault="00CC6BE4"/>
        </w:tc>
        <w:tc>
          <w:tcPr>
            <w:tcW w:w="3419" w:type="dxa"/>
          </w:tcPr>
          <w:p w14:paraId="1E66EE9E" w14:textId="5C3364BD" w:rsidR="00CC6BE4" w:rsidRDefault="00CC6BE4">
            <w:r>
              <w:t>Skarphed</w:t>
            </w:r>
          </w:p>
        </w:tc>
        <w:tc>
          <w:tcPr>
            <w:tcW w:w="3419" w:type="dxa"/>
          </w:tcPr>
          <w:p w14:paraId="6DDCD2E7" w14:textId="1E4D42C7" w:rsidR="00CC6BE4" w:rsidRDefault="00CC6BE4">
            <w:r>
              <w:t>Humor</w:t>
            </w:r>
          </w:p>
        </w:tc>
      </w:tr>
      <w:tr w:rsidR="00CC6BE4" w14:paraId="02B1F32E" w14:textId="77777777" w:rsidTr="00CC6BE4">
        <w:trPr>
          <w:trHeight w:val="873"/>
        </w:trPr>
        <w:tc>
          <w:tcPr>
            <w:tcW w:w="3419" w:type="dxa"/>
            <w:shd w:val="clear" w:color="auto" w:fill="C1E4F5" w:themeFill="accent1" w:themeFillTint="33"/>
          </w:tcPr>
          <w:p w14:paraId="7F68B69D" w14:textId="66A81357" w:rsidR="00CC6BE4" w:rsidRDefault="00CC6BE4">
            <w:r>
              <w:t>Form</w:t>
            </w:r>
          </w:p>
        </w:tc>
        <w:tc>
          <w:tcPr>
            <w:tcW w:w="3419" w:type="dxa"/>
          </w:tcPr>
          <w:p w14:paraId="21B23BE7" w14:textId="77777777" w:rsidR="00CC6BE4" w:rsidRDefault="00CC6BE4">
            <w:r>
              <w:t>Foredrag</w:t>
            </w:r>
          </w:p>
          <w:p w14:paraId="1635764A" w14:textId="77777777" w:rsidR="00CC6BE4" w:rsidRDefault="00CC6BE4"/>
          <w:p w14:paraId="6F4546E6" w14:textId="77777777" w:rsidR="00CC6BE4" w:rsidRDefault="00CC6BE4"/>
          <w:p w14:paraId="6F32B319" w14:textId="429E7CCF" w:rsidR="00CC6BE4" w:rsidRDefault="00CC6BE4"/>
        </w:tc>
        <w:tc>
          <w:tcPr>
            <w:tcW w:w="3419" w:type="dxa"/>
          </w:tcPr>
          <w:p w14:paraId="070DAEE9" w14:textId="7031D9A2" w:rsidR="00CC6BE4" w:rsidRDefault="00CC6BE4">
            <w:r>
              <w:t>Indlæg</w:t>
            </w:r>
          </w:p>
        </w:tc>
        <w:tc>
          <w:tcPr>
            <w:tcW w:w="3419" w:type="dxa"/>
          </w:tcPr>
          <w:p w14:paraId="32FBD89E" w14:textId="5772408C" w:rsidR="00CC6BE4" w:rsidRDefault="00CC6BE4">
            <w:r>
              <w:t>Tale</w:t>
            </w:r>
          </w:p>
        </w:tc>
      </w:tr>
      <w:tr w:rsidR="00CC6BE4" w14:paraId="53E68B15" w14:textId="77777777" w:rsidTr="00CC6BE4">
        <w:trPr>
          <w:trHeight w:val="873"/>
        </w:trPr>
        <w:tc>
          <w:tcPr>
            <w:tcW w:w="3419" w:type="dxa"/>
            <w:shd w:val="clear" w:color="auto" w:fill="C1E4F5" w:themeFill="accent1" w:themeFillTint="33"/>
          </w:tcPr>
          <w:p w14:paraId="7FCACDA6" w14:textId="3A255CC5" w:rsidR="00CC6BE4" w:rsidRDefault="00CC6BE4">
            <w:r>
              <w:t xml:space="preserve">Sted </w:t>
            </w:r>
          </w:p>
        </w:tc>
        <w:tc>
          <w:tcPr>
            <w:tcW w:w="3419" w:type="dxa"/>
          </w:tcPr>
          <w:p w14:paraId="4FF9C5AC" w14:textId="3867391E" w:rsidR="00CC6BE4" w:rsidRDefault="00CC6BE4">
            <w:r>
              <w:t>Fx skole</w:t>
            </w:r>
          </w:p>
          <w:p w14:paraId="5F7F798E" w14:textId="77777777" w:rsidR="00CC6BE4" w:rsidRDefault="00CC6BE4"/>
          <w:p w14:paraId="22406460" w14:textId="34C3FC7A" w:rsidR="00CC6BE4" w:rsidRDefault="00CC6BE4"/>
        </w:tc>
        <w:tc>
          <w:tcPr>
            <w:tcW w:w="3419" w:type="dxa"/>
          </w:tcPr>
          <w:p w14:paraId="1B578614" w14:textId="6563353D" w:rsidR="00CC6BE4" w:rsidRDefault="00CC6BE4">
            <w:r>
              <w:t>Fx råd og udvalg</w:t>
            </w:r>
          </w:p>
        </w:tc>
        <w:tc>
          <w:tcPr>
            <w:tcW w:w="3419" w:type="dxa"/>
          </w:tcPr>
          <w:p w14:paraId="07BF6085" w14:textId="782A544F" w:rsidR="00CC6BE4" w:rsidRDefault="00CC6BE4">
            <w:r>
              <w:t>Fx fest</w:t>
            </w:r>
          </w:p>
        </w:tc>
      </w:tr>
      <w:tr w:rsidR="00CC6BE4" w14:paraId="25959A57" w14:textId="77777777" w:rsidTr="00CC6BE4">
        <w:trPr>
          <w:trHeight w:val="1408"/>
        </w:trPr>
        <w:tc>
          <w:tcPr>
            <w:tcW w:w="3419" w:type="dxa"/>
            <w:shd w:val="clear" w:color="auto" w:fill="C1E4F5" w:themeFill="accent1" w:themeFillTint="33"/>
          </w:tcPr>
          <w:p w14:paraId="4E728A62" w14:textId="6AB2CBC3" w:rsidR="00CC6BE4" w:rsidRDefault="00CC6BE4">
            <w:r>
              <w:t>Tilhørere</w:t>
            </w:r>
          </w:p>
        </w:tc>
        <w:tc>
          <w:tcPr>
            <w:tcW w:w="3419" w:type="dxa"/>
          </w:tcPr>
          <w:p w14:paraId="1B339EB5" w14:textId="141EDF30" w:rsidR="00CC6BE4" w:rsidRDefault="00CC6BE4">
            <w:r>
              <w:t xml:space="preserve">Fx elever, lærer og censor </w:t>
            </w:r>
          </w:p>
        </w:tc>
        <w:tc>
          <w:tcPr>
            <w:tcW w:w="3419" w:type="dxa"/>
          </w:tcPr>
          <w:p w14:paraId="3AF30759" w14:textId="77777777" w:rsidR="00CC6BE4" w:rsidRDefault="00CC6BE4">
            <w:r>
              <w:t>Beslutningstagere og interesserede</w:t>
            </w:r>
          </w:p>
          <w:p w14:paraId="265C35B6" w14:textId="1BD40761" w:rsidR="00CC6BE4" w:rsidRDefault="00CC6BE4"/>
        </w:tc>
        <w:tc>
          <w:tcPr>
            <w:tcW w:w="3419" w:type="dxa"/>
          </w:tcPr>
          <w:p w14:paraId="3A85442F" w14:textId="73B34952" w:rsidR="00CC6BE4" w:rsidRDefault="00CC6BE4">
            <w:r>
              <w:t>Familie, venner og kolleger</w:t>
            </w:r>
          </w:p>
        </w:tc>
      </w:tr>
    </w:tbl>
    <w:p w14:paraId="347875D1" w14:textId="77777777" w:rsidR="00CC6BE4" w:rsidRDefault="00CC6BE4" w:rsidP="00CC6BE4">
      <w:pPr>
        <w:spacing w:after="0" w:line="240" w:lineRule="auto"/>
      </w:pPr>
    </w:p>
    <w:sectPr w:rsidR="00CC6BE4" w:rsidSect="00CC6BE4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BE4"/>
    <w:rsid w:val="00B92C1C"/>
    <w:rsid w:val="00CC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08121E"/>
  <w15:chartTrackingRefBased/>
  <w15:docId w15:val="{67C9366F-6B4E-0646-A4DD-DFF4E85C4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C6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C6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C6B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C6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C6B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C6B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C6B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C6B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C6B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C6B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C6B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C6B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C6BE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C6BE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C6BE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C6BE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C6BE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C6BE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C6B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C6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C6B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C6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C6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C6BE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C6BE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C6BE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C6B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C6BE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C6BE4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CC6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Vejlgaard Sørensen</dc:creator>
  <cp:keywords/>
  <dc:description/>
  <cp:lastModifiedBy>Lisbeth Vejlgaard Sørensen</cp:lastModifiedBy>
  <cp:revision>1</cp:revision>
  <dcterms:created xsi:type="dcterms:W3CDTF">2025-08-20T09:12:00Z</dcterms:created>
  <dcterms:modified xsi:type="dcterms:W3CDTF">2025-08-20T09:23:00Z</dcterms:modified>
</cp:coreProperties>
</file>