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D77B" w14:textId="77BF42C8" w:rsidR="00DF501E" w:rsidRPr="00075A0E" w:rsidRDefault="005D765F" w:rsidP="00075A0E">
      <w:pPr>
        <w:pStyle w:val="Titel"/>
        <w:rPr>
          <w:sz w:val="48"/>
          <w:szCs w:val="48"/>
        </w:rPr>
      </w:pPr>
      <w:r w:rsidRPr="005D765F">
        <w:rPr>
          <w:sz w:val="48"/>
          <w:szCs w:val="48"/>
        </w:rPr>
        <w:t xml:space="preserve">Eksamensøvelse </w:t>
      </w:r>
      <w:r w:rsidR="00DF501E" w:rsidRPr="005D765F">
        <w:rPr>
          <w:sz w:val="48"/>
          <w:szCs w:val="48"/>
        </w:rPr>
        <w:t xml:space="preserve">– </w:t>
      </w:r>
      <w:r w:rsidRPr="005D765F">
        <w:rPr>
          <w:sz w:val="48"/>
          <w:szCs w:val="48"/>
        </w:rPr>
        <w:t xml:space="preserve">Gentest for </w:t>
      </w:r>
      <w:proofErr w:type="spellStart"/>
      <w:r w:rsidR="00DF501E" w:rsidRPr="005D765F">
        <w:rPr>
          <w:sz w:val="48"/>
          <w:szCs w:val="48"/>
        </w:rPr>
        <w:t>hyperkolesterolæmi</w:t>
      </w:r>
      <w:proofErr w:type="spellEnd"/>
    </w:p>
    <w:p w14:paraId="05B667DF" w14:textId="77777777" w:rsidR="00DF501E" w:rsidRDefault="00DF501E" w:rsidP="005D765F">
      <w:pPr>
        <w:pStyle w:val="Overskrift1"/>
      </w:pPr>
      <w:r w:rsidRPr="00DF501E">
        <w:t xml:space="preserve">Formål: </w:t>
      </w:r>
    </w:p>
    <w:p w14:paraId="41BB95DA" w14:textId="1FEB0CD2" w:rsidR="00DF501E" w:rsidRDefault="00075A0E" w:rsidP="00DF501E">
      <w:r>
        <w:t xml:space="preserve">Formået er at undersøge tilstedeværelsen af gen for </w:t>
      </w:r>
      <w:proofErr w:type="spellStart"/>
      <w:r>
        <w:t>hyperkolesterolæmi</w:t>
      </w:r>
      <w:proofErr w:type="spellEnd"/>
      <w:r>
        <w:t xml:space="preserve"> hos en familie. </w:t>
      </w:r>
    </w:p>
    <w:p w14:paraId="54709CBE" w14:textId="77777777" w:rsidR="00DF501E" w:rsidRDefault="00DF501E" w:rsidP="005D765F">
      <w:pPr>
        <w:pStyle w:val="Overskrift1"/>
      </w:pPr>
      <w:r w:rsidRPr="00DF501E">
        <w:t>Teori:</w:t>
      </w:r>
      <w:r>
        <w:t xml:space="preserve"> </w:t>
      </w:r>
    </w:p>
    <w:p w14:paraId="3E0F30FA" w14:textId="77777777" w:rsidR="00075A0E" w:rsidRPr="00075A0E" w:rsidRDefault="00075A0E" w:rsidP="00075A0E">
      <w:proofErr w:type="spellStart"/>
      <w:r w:rsidRPr="00075A0E">
        <w:rPr>
          <w:b/>
          <w:bCs/>
        </w:rPr>
        <w:t>Hyperkolesterolæmi</w:t>
      </w:r>
      <w:proofErr w:type="spellEnd"/>
      <w:r w:rsidRPr="00075A0E">
        <w:t xml:space="preserve"> er en arvelig lidelse, der nedarves dominant. </w:t>
      </w:r>
    </w:p>
    <w:p w14:paraId="67D6CBD2" w14:textId="77777777" w:rsidR="00075A0E" w:rsidRPr="00075A0E" w:rsidRDefault="00075A0E" w:rsidP="00075A0E">
      <w:r w:rsidRPr="00075A0E">
        <w:t xml:space="preserve">Den kan påvises hos 5% af alle yngre med hjerteinfarkt. I befolkningen som helhed findes den i l ud af 500 individer. </w:t>
      </w:r>
    </w:p>
    <w:p w14:paraId="365631CC" w14:textId="77777777" w:rsidR="00075A0E" w:rsidRPr="00075A0E" w:rsidRDefault="00075A0E" w:rsidP="00075A0E">
      <w:r w:rsidRPr="00075A0E">
        <w:t xml:space="preserve">Lidelsen skyldes en genetisk defekt, der medfører, at nogle fedtstofreceptorer (LDL-receptorerne) på cellerne ikke fungerer. Det medfører at cellerne danner alt for meget kolesterol, hvorfor åreforkalkningen øges markant. </w:t>
      </w:r>
    </w:p>
    <w:p w14:paraId="23C13847" w14:textId="77777777" w:rsidR="00075A0E" w:rsidRPr="00075A0E" w:rsidRDefault="00075A0E" w:rsidP="00075A0E">
      <w:r w:rsidRPr="00075A0E">
        <w:t xml:space="preserve">Har man arvet defekten fra en af forældrene, medfører en ubehandlet </w:t>
      </w:r>
      <w:proofErr w:type="spellStart"/>
      <w:r w:rsidRPr="00075A0E">
        <w:t>hyperkolesterolæmi</w:t>
      </w:r>
      <w:proofErr w:type="spellEnd"/>
      <w:r w:rsidRPr="00075A0E">
        <w:t xml:space="preserve"> hyppigt dødsfald i halvtredsårsalderen. Arves defekten fra begge forældre dør børnene i den tidligste barndom.</w:t>
      </w:r>
    </w:p>
    <w:p w14:paraId="4698B51D" w14:textId="77777777" w:rsidR="00075A0E" w:rsidRPr="00075A0E" w:rsidRDefault="00075A0E" w:rsidP="00075A0E">
      <w:r w:rsidRPr="00075A0E">
        <w:t>Man kan nedsætte forkalkningsprocessen ved sund levevis, meget motion samt ingen tobak. Medicinsk behandling har en gavnlig effekt, hvis den påbegyndes i tide.</w:t>
      </w:r>
    </w:p>
    <w:p w14:paraId="33ED3611" w14:textId="77777777" w:rsidR="00DF501E" w:rsidRDefault="00DF501E" w:rsidP="005D765F">
      <w:pPr>
        <w:pStyle w:val="Overskrift1"/>
      </w:pPr>
      <w:r w:rsidRPr="00DF501E">
        <w:t>Materialer:</w:t>
      </w:r>
    </w:p>
    <w:p w14:paraId="5B4B7751" w14:textId="7327D06F" w:rsidR="00075A0E" w:rsidRPr="00075A0E" w:rsidRDefault="00075A0E" w:rsidP="00075A0E">
      <w:r>
        <w:t xml:space="preserve">DNA-prøve fra 4 individer i sygdomsramt familie samt rask og syg kontrol (begge er </w:t>
      </w:r>
      <w:proofErr w:type="spellStart"/>
      <w:r>
        <w:t>homozygote</w:t>
      </w:r>
      <w:proofErr w:type="spellEnd"/>
      <w:r>
        <w:t>)</w:t>
      </w:r>
    </w:p>
    <w:p w14:paraId="52DB527B" w14:textId="77777777" w:rsidR="00075A0E" w:rsidRPr="00075A0E" w:rsidRDefault="00075A0E" w:rsidP="00075A0E">
      <w:pPr>
        <w:numPr>
          <w:ilvl w:val="0"/>
          <w:numId w:val="4"/>
        </w:numPr>
      </w:pPr>
      <w:r w:rsidRPr="00075A0E">
        <w:t>Kirsten og Mads har et barn på 2 år. Netop som Kirsten får at vide, at hun atter er gravid, dør hendes far af en blodprop i hjertet. Han er 52 år. Hospitalet oplyser, at faderen led af en sjælden stofskiftesygdom, der medfører, at man ikke kan optage og omsætte fedtstoffer i kroppen. Det drejer sig specielt om kolesterol. Lidelsen medfører voldsom åreforkalkning og dermed en stor risiko for at få en blodprop. Da Kirstens farmor også døde i en tidlig alder, beslutter parret sig for, at familien skal undersøges, så man kan tage sine forholdsregler.</w:t>
      </w:r>
    </w:p>
    <w:p w14:paraId="52A70EEC" w14:textId="70104C4F" w:rsidR="00075A0E" w:rsidRPr="00075A0E" w:rsidRDefault="00075A0E" w:rsidP="00075A0E">
      <w:pPr>
        <w:numPr>
          <w:ilvl w:val="0"/>
          <w:numId w:val="4"/>
        </w:numPr>
      </w:pPr>
      <w:r w:rsidRPr="00075A0E">
        <w:t>Der tages blodprøver fra familien samt en fostervandsprøve fra moderen. Det sygdomsbestemmende gen isoleres og opformeres.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8"/>
        <w:gridCol w:w="1229"/>
        <w:gridCol w:w="1257"/>
        <w:gridCol w:w="1214"/>
        <w:gridCol w:w="1229"/>
        <w:gridCol w:w="1276"/>
        <w:gridCol w:w="2085"/>
      </w:tblGrid>
      <w:tr w:rsidR="00837F13" w14:paraId="03D390AE" w14:textId="77777777" w:rsidTr="00075A0E">
        <w:tc>
          <w:tcPr>
            <w:tcW w:w="1338" w:type="dxa"/>
          </w:tcPr>
          <w:p w14:paraId="2E3FF841" w14:textId="77777777" w:rsidR="00837F13" w:rsidRDefault="00837F13" w:rsidP="00DF501E">
            <w:r>
              <w:t>Person:</w:t>
            </w:r>
          </w:p>
        </w:tc>
        <w:tc>
          <w:tcPr>
            <w:tcW w:w="1229" w:type="dxa"/>
          </w:tcPr>
          <w:p w14:paraId="6723936D" w14:textId="77777777" w:rsidR="00837F13" w:rsidRDefault="00837F13" w:rsidP="00DF501E">
            <w:r>
              <w:t>Mads</w:t>
            </w:r>
          </w:p>
        </w:tc>
        <w:tc>
          <w:tcPr>
            <w:tcW w:w="1257" w:type="dxa"/>
          </w:tcPr>
          <w:p w14:paraId="5ADBB72E" w14:textId="77777777" w:rsidR="00837F13" w:rsidRDefault="00837F13" w:rsidP="00DF501E">
            <w:r>
              <w:t>Kirsten</w:t>
            </w:r>
          </w:p>
        </w:tc>
        <w:tc>
          <w:tcPr>
            <w:tcW w:w="1214" w:type="dxa"/>
          </w:tcPr>
          <w:p w14:paraId="3A0F3FD8" w14:textId="77777777" w:rsidR="00837F13" w:rsidRDefault="00837F13" w:rsidP="00DF501E">
            <w:r>
              <w:t>Barn</w:t>
            </w:r>
          </w:p>
        </w:tc>
        <w:tc>
          <w:tcPr>
            <w:tcW w:w="1229" w:type="dxa"/>
          </w:tcPr>
          <w:p w14:paraId="76111D07" w14:textId="77777777" w:rsidR="00837F13" w:rsidRDefault="00837F13" w:rsidP="00DF501E">
            <w:r>
              <w:t>ufødt</w:t>
            </w:r>
          </w:p>
        </w:tc>
        <w:tc>
          <w:tcPr>
            <w:tcW w:w="1276" w:type="dxa"/>
          </w:tcPr>
          <w:p w14:paraId="09939466" w14:textId="77777777" w:rsidR="00837F13" w:rsidRDefault="00837F13" w:rsidP="00DF501E">
            <w:r>
              <w:t>Kontrol: prøve fra rask</w:t>
            </w:r>
          </w:p>
        </w:tc>
        <w:tc>
          <w:tcPr>
            <w:tcW w:w="2085" w:type="dxa"/>
          </w:tcPr>
          <w:p w14:paraId="7DB0D475" w14:textId="77777777" w:rsidR="00837F13" w:rsidRDefault="00837F13" w:rsidP="00DF501E">
            <w:r>
              <w:t xml:space="preserve">Kontrol: prøve fra </w:t>
            </w:r>
            <w:proofErr w:type="spellStart"/>
            <w:r>
              <w:t>hyperkolesterolæmi</w:t>
            </w:r>
            <w:proofErr w:type="spellEnd"/>
            <w:r>
              <w:t>-patient</w:t>
            </w:r>
          </w:p>
        </w:tc>
      </w:tr>
      <w:tr w:rsidR="00837F13" w14:paraId="35F78D8B" w14:textId="77777777" w:rsidTr="00075A0E">
        <w:tc>
          <w:tcPr>
            <w:tcW w:w="1338" w:type="dxa"/>
          </w:tcPr>
          <w:p w14:paraId="66622692" w14:textId="77777777" w:rsidR="00837F13" w:rsidRDefault="00837F13" w:rsidP="00DF501E">
            <w:r>
              <w:t xml:space="preserve">Prøve </w:t>
            </w:r>
            <w:proofErr w:type="spellStart"/>
            <w:r>
              <w:t>nr</w:t>
            </w:r>
            <w:proofErr w:type="spellEnd"/>
            <w:r>
              <w:t>:</w:t>
            </w:r>
          </w:p>
        </w:tc>
        <w:tc>
          <w:tcPr>
            <w:tcW w:w="1229" w:type="dxa"/>
          </w:tcPr>
          <w:p w14:paraId="5E6E9431" w14:textId="77777777" w:rsidR="00837F13" w:rsidRDefault="00837F13" w:rsidP="00DF501E">
            <w:r>
              <w:t>1</w:t>
            </w:r>
          </w:p>
        </w:tc>
        <w:tc>
          <w:tcPr>
            <w:tcW w:w="1257" w:type="dxa"/>
          </w:tcPr>
          <w:p w14:paraId="5337FDE2" w14:textId="77777777" w:rsidR="00837F13" w:rsidRDefault="00837F13" w:rsidP="00DF501E">
            <w:r>
              <w:t>2</w:t>
            </w:r>
          </w:p>
        </w:tc>
        <w:tc>
          <w:tcPr>
            <w:tcW w:w="1214" w:type="dxa"/>
          </w:tcPr>
          <w:p w14:paraId="26139807" w14:textId="77777777" w:rsidR="00837F13" w:rsidRDefault="00837F13" w:rsidP="00DF501E">
            <w:r>
              <w:t>3</w:t>
            </w:r>
          </w:p>
        </w:tc>
        <w:tc>
          <w:tcPr>
            <w:tcW w:w="1229" w:type="dxa"/>
          </w:tcPr>
          <w:p w14:paraId="58BBFE9C" w14:textId="77777777" w:rsidR="00837F13" w:rsidRDefault="00837F13" w:rsidP="00DF501E">
            <w:r>
              <w:t>4</w:t>
            </w:r>
          </w:p>
        </w:tc>
        <w:tc>
          <w:tcPr>
            <w:tcW w:w="1276" w:type="dxa"/>
          </w:tcPr>
          <w:p w14:paraId="3F239E1C" w14:textId="77777777" w:rsidR="00837F13" w:rsidRDefault="00837F13" w:rsidP="00DF501E">
            <w:r>
              <w:t>5</w:t>
            </w:r>
          </w:p>
        </w:tc>
        <w:tc>
          <w:tcPr>
            <w:tcW w:w="2085" w:type="dxa"/>
          </w:tcPr>
          <w:p w14:paraId="5475602D" w14:textId="77777777" w:rsidR="00837F13" w:rsidRDefault="00837F13" w:rsidP="00DF501E">
            <w:r>
              <w:t>6</w:t>
            </w:r>
          </w:p>
        </w:tc>
      </w:tr>
    </w:tbl>
    <w:p w14:paraId="7FCB74AC" w14:textId="77777777" w:rsidR="00075A0E" w:rsidRDefault="00075A0E" w:rsidP="00075A0E">
      <w:pPr>
        <w:spacing w:after="0"/>
        <w:ind w:left="720"/>
      </w:pPr>
    </w:p>
    <w:p w14:paraId="2440180B" w14:textId="7F915D7D" w:rsidR="00075A0E" w:rsidRPr="00075A0E" w:rsidRDefault="00075A0E" w:rsidP="00075A0E">
      <w:pPr>
        <w:numPr>
          <w:ilvl w:val="0"/>
          <w:numId w:val="5"/>
        </w:numPr>
        <w:spacing w:after="0"/>
      </w:pPr>
      <w:r w:rsidRPr="00075A0E">
        <w:t>Buffer</w:t>
      </w:r>
      <w:r>
        <w:t xml:space="preserve">: </w:t>
      </w:r>
      <w:r>
        <w:tab/>
      </w:r>
      <w:r w:rsidRPr="00075A0E">
        <w:t xml:space="preserve">0,1g NaCl opløst i 1000 </w:t>
      </w:r>
      <w:proofErr w:type="spellStart"/>
      <w:r w:rsidRPr="00075A0E">
        <w:t>mL</w:t>
      </w:r>
      <w:proofErr w:type="spellEnd"/>
      <w:r w:rsidRPr="00075A0E">
        <w:t xml:space="preserve"> H</w:t>
      </w:r>
      <w:r w:rsidRPr="00075A0E">
        <w:rPr>
          <w:vertAlign w:val="subscript"/>
        </w:rPr>
        <w:t>2</w:t>
      </w:r>
      <w:r w:rsidRPr="00075A0E">
        <w:t>O. (Almindeligt ledningsvand kan anvendes)</w:t>
      </w:r>
    </w:p>
    <w:p w14:paraId="49E7124C" w14:textId="4B9C3875" w:rsidR="00075A0E" w:rsidRPr="00075A0E" w:rsidRDefault="00075A0E" w:rsidP="00075A0E">
      <w:pPr>
        <w:numPr>
          <w:ilvl w:val="0"/>
          <w:numId w:val="5"/>
        </w:numPr>
        <w:spacing w:after="0"/>
      </w:pPr>
      <w:r w:rsidRPr="00075A0E">
        <w:rPr>
          <w:lang w:val="en-US"/>
        </w:rPr>
        <w:t>Gel</w:t>
      </w:r>
      <w:proofErr w:type="gramStart"/>
      <w:r w:rsidRPr="00075A0E"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 w:rsidRPr="00075A0E">
        <w:rPr>
          <w:lang w:val="en-US"/>
        </w:rPr>
        <w:t>l</w:t>
      </w:r>
      <w:proofErr w:type="gramEnd"/>
      <w:r w:rsidRPr="00075A0E">
        <w:rPr>
          <w:lang w:val="en-US"/>
        </w:rPr>
        <w:t xml:space="preserve"> % agar (</w:t>
      </w:r>
      <w:proofErr w:type="spellStart"/>
      <w:r w:rsidRPr="00075A0E">
        <w:rPr>
          <w:lang w:val="en-US"/>
        </w:rPr>
        <w:t>Bacto</w:t>
      </w:r>
      <w:proofErr w:type="spellEnd"/>
      <w:r w:rsidRPr="00075A0E">
        <w:rPr>
          <w:lang w:val="en-US"/>
        </w:rPr>
        <w:t xml:space="preserve">-agar). </w:t>
      </w:r>
      <w:r w:rsidRPr="00075A0E">
        <w:t xml:space="preserve">35-40 </w:t>
      </w:r>
      <w:proofErr w:type="spellStart"/>
      <w:r w:rsidRPr="00075A0E">
        <w:t>mL</w:t>
      </w:r>
      <w:proofErr w:type="spellEnd"/>
      <w:r w:rsidRPr="00075A0E">
        <w:t xml:space="preserve"> er nok til et lille elektroforesekar</w:t>
      </w:r>
    </w:p>
    <w:p w14:paraId="40B5BF35" w14:textId="77777777" w:rsidR="00075A0E" w:rsidRPr="00075A0E" w:rsidRDefault="00075A0E" w:rsidP="00075A0E">
      <w:pPr>
        <w:numPr>
          <w:ilvl w:val="0"/>
          <w:numId w:val="5"/>
        </w:numPr>
        <w:spacing w:after="0"/>
      </w:pPr>
      <w:r w:rsidRPr="00075A0E">
        <w:t>Opløsninger:</w:t>
      </w:r>
      <w:r w:rsidRPr="00075A0E">
        <w:tab/>
        <w:t>33 % Sakkarose farve-opløsninger (prøver).</w:t>
      </w:r>
    </w:p>
    <w:p w14:paraId="177526AE" w14:textId="77777777" w:rsidR="00075A0E" w:rsidRPr="00075A0E" w:rsidRDefault="00075A0E" w:rsidP="00075A0E">
      <w:pPr>
        <w:numPr>
          <w:ilvl w:val="0"/>
          <w:numId w:val="5"/>
        </w:numPr>
        <w:spacing w:after="0"/>
      </w:pPr>
      <w:r w:rsidRPr="00075A0E">
        <w:t>Pipetter:</w:t>
      </w:r>
      <w:r w:rsidRPr="00075A0E">
        <w:tab/>
        <w:t xml:space="preserve">Mikropipetter, så der kan afsættes 10 </w:t>
      </w:r>
      <w:proofErr w:type="spellStart"/>
      <w:r w:rsidRPr="00075A0E">
        <w:t>μL</w:t>
      </w:r>
      <w:proofErr w:type="spellEnd"/>
      <w:r w:rsidRPr="00075A0E">
        <w:t xml:space="preserve"> prøve i hver brønd.</w:t>
      </w:r>
    </w:p>
    <w:p w14:paraId="04598D33" w14:textId="432ECAAD" w:rsidR="00075A0E" w:rsidRPr="00075A0E" w:rsidRDefault="00075A0E" w:rsidP="00075A0E">
      <w:pPr>
        <w:numPr>
          <w:ilvl w:val="0"/>
          <w:numId w:val="5"/>
        </w:numPr>
        <w:spacing w:after="0"/>
      </w:pPr>
      <w:r w:rsidRPr="00075A0E">
        <w:t xml:space="preserve">Pipettespidser: </w:t>
      </w:r>
      <w:r>
        <w:tab/>
      </w:r>
      <w:r w:rsidRPr="00075A0E">
        <w:t xml:space="preserve">10-100 </w:t>
      </w:r>
      <w:proofErr w:type="spellStart"/>
      <w:r w:rsidRPr="00075A0E">
        <w:t>μL</w:t>
      </w:r>
      <w:proofErr w:type="spellEnd"/>
      <w:r w:rsidRPr="00075A0E">
        <w:t>.</w:t>
      </w:r>
    </w:p>
    <w:p w14:paraId="7A8A828A" w14:textId="75223772" w:rsidR="00075A0E" w:rsidRPr="00075A0E" w:rsidRDefault="00075A0E" w:rsidP="00075A0E">
      <w:pPr>
        <w:numPr>
          <w:ilvl w:val="0"/>
          <w:numId w:val="5"/>
        </w:numPr>
        <w:spacing w:after="0"/>
      </w:pPr>
      <w:proofErr w:type="spellStart"/>
      <w:r w:rsidRPr="00075A0E">
        <w:t>Eppendorf</w:t>
      </w:r>
      <w:proofErr w:type="spellEnd"/>
      <w:r w:rsidRPr="00075A0E">
        <w:t xml:space="preserve">-rør: </w:t>
      </w:r>
      <w:r>
        <w:tab/>
      </w:r>
      <w:r w:rsidRPr="00075A0E">
        <w:t>til opbevaring af prøver.</w:t>
      </w:r>
    </w:p>
    <w:p w14:paraId="2EBEDDFF" w14:textId="3CB60022" w:rsidR="00075A0E" w:rsidRPr="00075A0E" w:rsidRDefault="00075A0E" w:rsidP="00075A0E">
      <w:pPr>
        <w:numPr>
          <w:ilvl w:val="0"/>
          <w:numId w:val="5"/>
        </w:numPr>
        <w:spacing w:after="0"/>
      </w:pPr>
      <w:r w:rsidRPr="00075A0E">
        <w:t xml:space="preserve">Strømforsyning: </w:t>
      </w:r>
      <w:r>
        <w:tab/>
      </w:r>
      <w:r w:rsidRPr="00075A0E">
        <w:t>DC-volt strømforsyning, der kan give 100V (må kun tilsluttes af læreren)</w:t>
      </w:r>
    </w:p>
    <w:p w14:paraId="6B574ED5" w14:textId="77777777" w:rsidR="00075A0E" w:rsidRPr="00075A0E" w:rsidRDefault="00075A0E" w:rsidP="00075A0E">
      <w:pPr>
        <w:numPr>
          <w:ilvl w:val="0"/>
          <w:numId w:val="5"/>
        </w:numPr>
        <w:spacing w:after="0"/>
      </w:pPr>
      <w:r w:rsidRPr="00075A0E">
        <w:t>Elektroforesekar (</w:t>
      </w:r>
      <w:proofErr w:type="spellStart"/>
      <w:r w:rsidRPr="00075A0E">
        <w:t>Scandidact</w:t>
      </w:r>
      <w:proofErr w:type="spellEnd"/>
      <w:r w:rsidRPr="00075A0E">
        <w:t>)</w:t>
      </w:r>
    </w:p>
    <w:p w14:paraId="58EE805C" w14:textId="77777777" w:rsidR="00075A0E" w:rsidRDefault="00075A0E" w:rsidP="00075A0E"/>
    <w:p w14:paraId="49113D66" w14:textId="59742CFB" w:rsidR="00DF501E" w:rsidRDefault="00DF501E" w:rsidP="005D765F">
      <w:pPr>
        <w:pStyle w:val="Overskrift1"/>
      </w:pPr>
      <w:r w:rsidRPr="00DF501E">
        <w:t>Fremgangsmåde:</w:t>
      </w:r>
    </w:p>
    <w:p w14:paraId="4E5E15DF" w14:textId="77777777" w:rsidR="00075A0E" w:rsidRPr="00075A0E" w:rsidRDefault="00075A0E" w:rsidP="00075A0E">
      <w:pPr>
        <w:pStyle w:val="Listeafsnit"/>
        <w:numPr>
          <w:ilvl w:val="0"/>
          <w:numId w:val="7"/>
        </w:numPr>
      </w:pPr>
      <w:r w:rsidRPr="00075A0E">
        <w:t xml:space="preserve">Opvarm </w:t>
      </w:r>
      <w:proofErr w:type="spellStart"/>
      <w:r w:rsidRPr="00075A0E">
        <w:t>agarblandingen</w:t>
      </w:r>
      <w:proofErr w:type="spellEnd"/>
      <w:r w:rsidRPr="00075A0E">
        <w:t xml:space="preserve"> på kogepladen, det skal koge lidt.</w:t>
      </w:r>
    </w:p>
    <w:p w14:paraId="0A79F60A" w14:textId="77777777" w:rsidR="00075A0E" w:rsidRPr="00075A0E" w:rsidRDefault="00075A0E" w:rsidP="00075A0E">
      <w:pPr>
        <w:pStyle w:val="Listeafsnit"/>
        <w:numPr>
          <w:ilvl w:val="0"/>
          <w:numId w:val="7"/>
        </w:numPr>
      </w:pPr>
      <w:r w:rsidRPr="00075A0E">
        <w:t xml:space="preserve">Sæt kammen med 12 takker i støbekarret.  Husk at elektroforeseapparatet skal stå vandret. Kammen, der danner brøndene i gelen, må ikke fjernes, før buffervæsken er hældt i elektroforeseapparatet. Herved undgår man, at der kommer luftlommer i brøndene, når kammen fjernes. </w:t>
      </w:r>
    </w:p>
    <w:p w14:paraId="5309CBE2" w14:textId="77777777" w:rsidR="00075A0E" w:rsidRDefault="00075A0E" w:rsidP="00075A0E">
      <w:pPr>
        <w:pStyle w:val="Listeafsnit"/>
        <w:numPr>
          <w:ilvl w:val="0"/>
          <w:numId w:val="7"/>
        </w:numPr>
      </w:pPr>
      <w:r w:rsidRPr="00075A0E">
        <w:t xml:space="preserve">Foregår på bordet. Hæld den varme </w:t>
      </w:r>
      <w:proofErr w:type="spellStart"/>
      <w:r w:rsidRPr="00075A0E">
        <w:t>agarblanding</w:t>
      </w:r>
      <w:proofErr w:type="spellEnd"/>
      <w:r w:rsidRPr="00075A0E">
        <w:t xml:space="preserve"> ned støbe-karret (støbning af gel). Vent til gelen er størknet (ca. 10 min).</w:t>
      </w:r>
    </w:p>
    <w:p w14:paraId="594B4F6B" w14:textId="7BF4C1E4" w:rsidR="00075A0E" w:rsidRPr="00075A0E" w:rsidRDefault="00075A0E" w:rsidP="00075A0E">
      <w:pPr>
        <w:pStyle w:val="Listeafsnit"/>
        <w:numPr>
          <w:ilvl w:val="0"/>
          <w:numId w:val="7"/>
        </w:numPr>
      </w:pPr>
      <w:r>
        <w:t>Fjern forsigtigt</w:t>
      </w:r>
      <w:r w:rsidRPr="00075A0E">
        <w:t xml:space="preserve"> </w:t>
      </w:r>
      <w:proofErr w:type="spellStart"/>
      <w:r w:rsidRPr="00075A0E">
        <w:t>endefladerne</w:t>
      </w:r>
      <w:proofErr w:type="spellEnd"/>
      <w:r w:rsidRPr="00075A0E">
        <w:t xml:space="preserve"> på støbekarret og placer støbekarret med gelen i</w:t>
      </w:r>
      <w:r>
        <w:t xml:space="preserve"> </w:t>
      </w:r>
      <w:r w:rsidRPr="00075A0E">
        <w:t>elektroforese</w:t>
      </w:r>
      <w:r>
        <w:t>-</w:t>
      </w:r>
      <w:r w:rsidRPr="00075A0E">
        <w:t>apparatet.</w:t>
      </w:r>
    </w:p>
    <w:p w14:paraId="3932B4A8" w14:textId="77777777" w:rsidR="00075A0E" w:rsidRPr="00075A0E" w:rsidRDefault="00075A0E" w:rsidP="00075A0E">
      <w:pPr>
        <w:pStyle w:val="Listeafsnit"/>
        <w:numPr>
          <w:ilvl w:val="0"/>
          <w:numId w:val="7"/>
        </w:numPr>
      </w:pPr>
      <w:r w:rsidRPr="00075A0E">
        <w:t>Hæld buffervæske i karret ca. 2-3 mm over gelen. Tag forsigtigt kammen op af gelen.</w:t>
      </w:r>
    </w:p>
    <w:p w14:paraId="69496360" w14:textId="77777777" w:rsidR="00075A0E" w:rsidRPr="00075A0E" w:rsidRDefault="00075A0E" w:rsidP="00075A0E">
      <w:pPr>
        <w:pStyle w:val="Listeafsnit"/>
        <w:numPr>
          <w:ilvl w:val="0"/>
          <w:numId w:val="7"/>
        </w:numPr>
      </w:pPr>
      <w:r w:rsidRPr="00075A0E">
        <w:t xml:space="preserve">Prøverne påsættes forsigtigt (10 </w:t>
      </w:r>
      <w:proofErr w:type="spellStart"/>
      <w:r w:rsidRPr="00075A0E">
        <w:t>μL</w:t>
      </w:r>
      <w:proofErr w:type="spellEnd"/>
      <w:r w:rsidRPr="00075A0E">
        <w:t xml:space="preserve">). Efter opsugning af prøven, tørres pipettespidsen forsigtigt i køkkenrulle for at undgå prøvespild i buffervæsken. HUSK at skifte pipettespidser efter hver prøve. Anvend </w:t>
      </w:r>
      <w:r w:rsidRPr="00075A0E">
        <w:rPr>
          <w:b/>
          <w:bCs/>
        </w:rPr>
        <w:t>kun hver anden brønd</w:t>
      </w:r>
      <w:r w:rsidRPr="00075A0E">
        <w:t xml:space="preserve">, for at undgå at farvepletterne fra nabobrøndene flyder sammen. Pipettespidserne må ikke ødelægge brøndenes bund, for så vil farverne flyde nedenud. </w:t>
      </w:r>
    </w:p>
    <w:p w14:paraId="3F764B9E" w14:textId="77777777" w:rsidR="00075A0E" w:rsidRPr="00075A0E" w:rsidRDefault="00075A0E" w:rsidP="00075A0E">
      <w:pPr>
        <w:pStyle w:val="Listeafsnit"/>
        <w:numPr>
          <w:ilvl w:val="0"/>
          <w:numId w:val="7"/>
        </w:numPr>
      </w:pPr>
      <w:r w:rsidRPr="00075A0E">
        <w:t>Sæt låget på elektroforeseapparatet. Da prøverne er negativt ladede, skal brøndene være ved elektroforeseapparatets negative elektrode som er sort. De røde er positive elektrode.</w:t>
      </w:r>
    </w:p>
    <w:p w14:paraId="383FBBE6" w14:textId="77777777" w:rsidR="00075A0E" w:rsidRPr="00075A0E" w:rsidRDefault="00075A0E" w:rsidP="00075A0E">
      <w:pPr>
        <w:pStyle w:val="Listeafsnit"/>
        <w:numPr>
          <w:ilvl w:val="0"/>
          <w:numId w:val="7"/>
        </w:numPr>
      </w:pPr>
      <w:r w:rsidRPr="00075A0E">
        <w:rPr>
          <w:b/>
          <w:bCs/>
        </w:rPr>
        <w:t xml:space="preserve">Strømmen tilsluttes. 80-90 V er en passende spænding. </w:t>
      </w:r>
      <w:r w:rsidRPr="00075A0E">
        <w:t>Elektroforesen vil her kunne udføres på 30 - 45 minutter. Øges spændingen, øges også vandringshastigheden, men samtidig afsættes der meget varme i gelen med fare for, at denne bliver blød og smelter.</w:t>
      </w:r>
    </w:p>
    <w:p w14:paraId="3FCE41CA" w14:textId="77777777" w:rsidR="00DF501E" w:rsidRPr="00DF501E" w:rsidRDefault="00DF501E" w:rsidP="005D765F">
      <w:pPr>
        <w:pStyle w:val="Overskrift1"/>
      </w:pPr>
      <w:r w:rsidRPr="00DF501E">
        <w:t xml:space="preserve">Resultater: </w:t>
      </w:r>
    </w:p>
    <w:p w14:paraId="66BEC98F" w14:textId="77777777" w:rsidR="00DF501E" w:rsidRDefault="00DF501E" w:rsidP="00DF501E">
      <w:r>
        <w:t>Indsæt billeder af gelen efter farvning</w:t>
      </w:r>
    </w:p>
    <w:p w14:paraId="4047515C" w14:textId="77777777" w:rsidR="00DF501E" w:rsidRDefault="00DF501E" w:rsidP="005D765F">
      <w:pPr>
        <w:pStyle w:val="Overskrift1"/>
      </w:pPr>
      <w:r w:rsidRPr="00DF501E">
        <w:t xml:space="preserve">Diskussion: </w:t>
      </w:r>
    </w:p>
    <w:p w14:paraId="0B090B2B" w14:textId="77777777" w:rsidR="00EB3FFF" w:rsidRDefault="00EB3FFF" w:rsidP="005D765F">
      <w:pPr>
        <w:pStyle w:val="Listeafsnit"/>
        <w:numPr>
          <w:ilvl w:val="0"/>
          <w:numId w:val="3"/>
        </w:numPr>
      </w:pPr>
      <w:r>
        <w:t>Forklar hvad der er i hver af de 6 prøver</w:t>
      </w:r>
    </w:p>
    <w:p w14:paraId="74FE34CE" w14:textId="77777777" w:rsidR="00EB3FFF" w:rsidRDefault="00AA639A" w:rsidP="005D765F">
      <w:pPr>
        <w:pStyle w:val="Listeafsnit"/>
        <w:numPr>
          <w:ilvl w:val="0"/>
          <w:numId w:val="3"/>
        </w:numPr>
      </w:pPr>
      <w:r>
        <w:t>Beskriv resultaterne på din gel – hvad viser båndende ved hver brønd?</w:t>
      </w:r>
      <w:r w:rsidR="00EB3FFF">
        <w:t xml:space="preserve"> </w:t>
      </w:r>
    </w:p>
    <w:p w14:paraId="573CA7EA" w14:textId="77777777" w:rsidR="00AA639A" w:rsidRDefault="00EB3FFF" w:rsidP="005D765F">
      <w:pPr>
        <w:pStyle w:val="Listeafsnit"/>
        <w:numPr>
          <w:ilvl w:val="0"/>
          <w:numId w:val="3"/>
        </w:numPr>
      </w:pPr>
      <w:r>
        <w:t xml:space="preserve">Forklar hvordan genotypen er for hver af de </w:t>
      </w:r>
      <w:r w:rsidR="00837F13">
        <w:t>fire</w:t>
      </w:r>
      <w:r>
        <w:t xml:space="preserve"> p</w:t>
      </w:r>
      <w:r w:rsidR="00837F13">
        <w:t>ersone</w:t>
      </w:r>
      <w:r>
        <w:t>r</w:t>
      </w:r>
      <w:r w:rsidR="00B229E1">
        <w:t xml:space="preserve"> i familien</w:t>
      </w:r>
      <w:r>
        <w:t>, og hvad det betyder for hver af dem</w:t>
      </w:r>
    </w:p>
    <w:p w14:paraId="4D029732" w14:textId="77777777" w:rsidR="00AA639A" w:rsidRDefault="00FB575C" w:rsidP="005D765F">
      <w:pPr>
        <w:pStyle w:val="Listeafsnit"/>
        <w:numPr>
          <w:ilvl w:val="0"/>
          <w:numId w:val="3"/>
        </w:numPr>
      </w:pPr>
      <w:r>
        <w:t xml:space="preserve">Hvis begge forældre til et barn er </w:t>
      </w:r>
      <w:proofErr w:type="spellStart"/>
      <w:r>
        <w:t>heterozygote</w:t>
      </w:r>
      <w:proofErr w:type="spellEnd"/>
      <w:r>
        <w:t xml:space="preserve"> for FH, hvad er sandsynligheden for at barnet vil blive mildt påvirket af sygdommen? Hvad er sandsynligheden for at det bliver svært påvirket af sygdommen?</w:t>
      </w:r>
      <w:r w:rsidR="007455D3">
        <w:t xml:space="preserve"> Lav et krydsningsskema</w:t>
      </w:r>
    </w:p>
    <w:p w14:paraId="776F352C" w14:textId="77777777" w:rsidR="00B131CE" w:rsidRDefault="00B131CE" w:rsidP="005D765F">
      <w:pPr>
        <w:pStyle w:val="Listeafsnit"/>
        <w:numPr>
          <w:ilvl w:val="0"/>
          <w:numId w:val="3"/>
        </w:numPr>
      </w:pPr>
      <w:r>
        <w:t>Hvilke fejlkilder kan der være ved forsøget? Hvorfor er det fx vigtigt at folien ikke fjernes fra prøverne</w:t>
      </w:r>
      <w:r w:rsidR="00B229E1">
        <w:t>/ at låget ikke efterlades åbent</w:t>
      </w:r>
      <w:r>
        <w:t xml:space="preserve">? </w:t>
      </w:r>
    </w:p>
    <w:p w14:paraId="45845490" w14:textId="7E12AD02" w:rsidR="007455D3" w:rsidRDefault="00EB3FFF" w:rsidP="005D765F">
      <w:pPr>
        <w:pStyle w:val="Listeafsnit"/>
        <w:numPr>
          <w:ilvl w:val="0"/>
          <w:numId w:val="3"/>
        </w:numPr>
      </w:pPr>
      <w:r>
        <w:t>Diskuter hvilke fordele og ulemper der er ved at bruge gentests. Inddrag dokumentaren ”Tør du få testet dine gener?”</w:t>
      </w:r>
    </w:p>
    <w:p w14:paraId="00ACF860" w14:textId="77777777" w:rsidR="00DF501E" w:rsidRDefault="00AA4717" w:rsidP="005D765F">
      <w:pPr>
        <w:pStyle w:val="Overskrift1"/>
      </w:pPr>
      <w:r w:rsidRPr="00C81360">
        <w:t>Konklusion:</w:t>
      </w:r>
    </w:p>
    <w:p w14:paraId="276EE5B4" w14:textId="3EB34F9C" w:rsidR="00DF501E" w:rsidRPr="00DF501E" w:rsidRDefault="00C81360" w:rsidP="00DF501E">
      <w:r>
        <w:t>Hvad viser resultaterne fra dit forsøg om generne hos de personer der er DNA-prøver fra?</w:t>
      </w:r>
    </w:p>
    <w:sectPr w:rsidR="00DF501E" w:rsidRPr="00DF50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3C76"/>
    <w:multiLevelType w:val="hybridMultilevel"/>
    <w:tmpl w:val="6784C448"/>
    <w:lvl w:ilvl="0" w:tplc="7BC84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0E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87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2A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A8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A0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6B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41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A477A8"/>
    <w:multiLevelType w:val="hybridMultilevel"/>
    <w:tmpl w:val="C8F28852"/>
    <w:lvl w:ilvl="0" w:tplc="1F94CB1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054EA"/>
    <w:multiLevelType w:val="hybridMultilevel"/>
    <w:tmpl w:val="D28282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03820"/>
    <w:multiLevelType w:val="hybridMultilevel"/>
    <w:tmpl w:val="EAA8BBC4"/>
    <w:lvl w:ilvl="0" w:tplc="1F94CB1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C54A4"/>
    <w:multiLevelType w:val="hybridMultilevel"/>
    <w:tmpl w:val="B3E2774A"/>
    <w:lvl w:ilvl="0" w:tplc="B7E2F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AC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A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D88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A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44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E4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64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83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93101A"/>
    <w:multiLevelType w:val="hybridMultilevel"/>
    <w:tmpl w:val="D084F1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F13C2"/>
    <w:multiLevelType w:val="hybridMultilevel"/>
    <w:tmpl w:val="353EDA02"/>
    <w:lvl w:ilvl="0" w:tplc="0270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A9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E6E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C2A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28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8D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EB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23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3EB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443304">
    <w:abstractNumId w:val="1"/>
  </w:num>
  <w:num w:numId="2" w16cid:durableId="1196389346">
    <w:abstractNumId w:val="3"/>
  </w:num>
  <w:num w:numId="3" w16cid:durableId="1502506624">
    <w:abstractNumId w:val="5"/>
  </w:num>
  <w:num w:numId="4" w16cid:durableId="758403384">
    <w:abstractNumId w:val="0"/>
  </w:num>
  <w:num w:numId="5" w16cid:durableId="1995983982">
    <w:abstractNumId w:val="4"/>
  </w:num>
  <w:num w:numId="6" w16cid:durableId="288243295">
    <w:abstractNumId w:val="6"/>
  </w:num>
  <w:num w:numId="7" w16cid:durableId="60654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1E"/>
    <w:rsid w:val="00075A0E"/>
    <w:rsid w:val="000C7DD2"/>
    <w:rsid w:val="001474B6"/>
    <w:rsid w:val="005D765F"/>
    <w:rsid w:val="007455D3"/>
    <w:rsid w:val="007C1C91"/>
    <w:rsid w:val="007D73A1"/>
    <w:rsid w:val="00837F13"/>
    <w:rsid w:val="008B3D4D"/>
    <w:rsid w:val="009732A1"/>
    <w:rsid w:val="009A695B"/>
    <w:rsid w:val="00AA4717"/>
    <w:rsid w:val="00AA639A"/>
    <w:rsid w:val="00B131CE"/>
    <w:rsid w:val="00B229E1"/>
    <w:rsid w:val="00C81360"/>
    <w:rsid w:val="00CB2D80"/>
    <w:rsid w:val="00D74E71"/>
    <w:rsid w:val="00DF501E"/>
    <w:rsid w:val="00E63BD5"/>
    <w:rsid w:val="00EB3FFF"/>
    <w:rsid w:val="00F954FF"/>
    <w:rsid w:val="00FA7494"/>
    <w:rsid w:val="00FB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ED59"/>
  <w15:chartTrackingRefBased/>
  <w15:docId w15:val="{1B632683-806D-419B-A5B5-95992ED2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7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F50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DF501E"/>
    <w:pPr>
      <w:ind w:left="720"/>
      <w:contextualSpacing/>
    </w:pPr>
  </w:style>
  <w:style w:type="table" w:styleId="Tabel-Gitter">
    <w:name w:val="Table Grid"/>
    <w:basedOn w:val="Tabel-Normal"/>
    <w:uiPriority w:val="39"/>
    <w:rsid w:val="0083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D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2025-09-14T18:58:00Z</dcterms:created>
  <dcterms:modified xsi:type="dcterms:W3CDTF">2025-09-14T18:58:00Z</dcterms:modified>
</cp:coreProperties>
</file>