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7660" w14:textId="1C746CB6" w:rsidR="002F74D0" w:rsidRPr="002F74D0" w:rsidRDefault="002F74D0" w:rsidP="002F74D0">
      <w:pPr>
        <w:pStyle w:val="Listeafsnit"/>
        <w:numPr>
          <w:ilvl w:val="0"/>
          <w:numId w:val="2"/>
        </w:numPr>
        <w:autoSpaceDE w:val="0"/>
        <w:autoSpaceDN w:val="0"/>
        <w:adjustRightInd w:val="0"/>
        <w:spacing w:after="30" w:line="276" w:lineRule="auto"/>
        <w:rPr>
          <w:b/>
          <w:bCs/>
          <w:color w:val="000000"/>
          <w:sz w:val="24"/>
          <w:szCs w:val="24"/>
        </w:rPr>
      </w:pPr>
      <w:r w:rsidRPr="002F74D0">
        <w:rPr>
          <w:b/>
          <w:bCs/>
          <w:color w:val="000000"/>
          <w:sz w:val="24"/>
          <w:szCs w:val="24"/>
          <w:lang w:eastAsia="da-DK"/>
        </w:rPr>
        <w:t xml:space="preserve">Jesus som fortolker af </w:t>
      </w:r>
      <w:proofErr w:type="spellStart"/>
      <w:r w:rsidRPr="002F74D0">
        <w:rPr>
          <w:b/>
          <w:bCs/>
          <w:color w:val="000000"/>
          <w:sz w:val="24"/>
          <w:szCs w:val="24"/>
          <w:lang w:eastAsia="da-DK"/>
        </w:rPr>
        <w:t>Torahen</w:t>
      </w:r>
      <w:proofErr w:type="spellEnd"/>
      <w:r w:rsidRPr="002F74D0">
        <w:rPr>
          <w:b/>
          <w:bCs/>
          <w:color w:val="000000"/>
          <w:sz w:val="24"/>
          <w:szCs w:val="24"/>
          <w:lang w:eastAsia="da-DK"/>
        </w:rPr>
        <w:t>/Moseloven</w:t>
      </w:r>
    </w:p>
    <w:p w14:paraId="6D64129B" w14:textId="77777777" w:rsidR="002F74D0" w:rsidRDefault="002F74D0" w:rsidP="002F74D0">
      <w:pPr>
        <w:rPr>
          <w:sz w:val="24"/>
          <w:szCs w:val="24"/>
          <w:lang w:eastAsia="da-DK"/>
        </w:rPr>
      </w:pPr>
      <w:r>
        <w:rPr>
          <w:sz w:val="24"/>
          <w:szCs w:val="24"/>
          <w:lang w:eastAsia="da-DK"/>
        </w:rPr>
        <w:t>Kilder: Matthæusevangeliet 5, 17-48. Markusevangeliet 12, 28-34</w:t>
      </w:r>
    </w:p>
    <w:p w14:paraId="0AECC57A" w14:textId="77777777" w:rsidR="002F74D0" w:rsidRDefault="002F74D0" w:rsidP="002F74D0">
      <w:pPr>
        <w:autoSpaceDE w:val="0"/>
        <w:autoSpaceDN w:val="0"/>
        <w:adjustRightInd w:val="0"/>
        <w:spacing w:after="30" w:line="276" w:lineRule="auto"/>
        <w:rPr>
          <w:color w:val="000000"/>
          <w:sz w:val="24"/>
          <w:szCs w:val="24"/>
          <w:lang w:eastAsia="da-DK"/>
        </w:rPr>
      </w:pPr>
      <w:r>
        <w:rPr>
          <w:color w:val="000000"/>
          <w:sz w:val="24"/>
          <w:szCs w:val="24"/>
        </w:rPr>
        <w:t xml:space="preserve">Baggrundsstof: </w:t>
      </w:r>
      <w:r>
        <w:rPr>
          <w:color w:val="000000"/>
          <w:sz w:val="24"/>
          <w:szCs w:val="24"/>
          <w:lang w:eastAsia="da-DK"/>
        </w:rPr>
        <w:t>Religioner lever. Lindhardt og Ringhof. 2017, s. 65-65</w:t>
      </w:r>
    </w:p>
    <w:p w14:paraId="386082D5" w14:textId="77777777" w:rsidR="002F74D0" w:rsidRDefault="002F74D0" w:rsidP="002F74D0">
      <w:pPr>
        <w:autoSpaceDE w:val="0"/>
        <w:autoSpaceDN w:val="0"/>
        <w:adjustRightInd w:val="0"/>
        <w:spacing w:after="30" w:line="276" w:lineRule="auto"/>
        <w:rPr>
          <w:color w:val="000000"/>
          <w:sz w:val="24"/>
          <w:szCs w:val="24"/>
          <w:lang w:eastAsia="da-DK"/>
        </w:rPr>
      </w:pPr>
      <w:r>
        <w:rPr>
          <w:color w:val="000000"/>
          <w:sz w:val="24"/>
          <w:szCs w:val="24"/>
          <w:lang w:eastAsia="da-DK"/>
        </w:rPr>
        <w:t>Øvelser:</w:t>
      </w:r>
    </w:p>
    <w:p w14:paraId="6987F0FB" w14:textId="77777777" w:rsidR="002F74D0" w:rsidRDefault="002F74D0" w:rsidP="002F74D0">
      <w:pPr>
        <w:pStyle w:val="Listeafsnit"/>
        <w:numPr>
          <w:ilvl w:val="0"/>
          <w:numId w:val="1"/>
        </w:numPr>
        <w:spacing w:line="256" w:lineRule="auto"/>
        <w:contextualSpacing w:val="0"/>
        <w:rPr>
          <w:sz w:val="24"/>
          <w:szCs w:val="24"/>
        </w:rPr>
      </w:pPr>
      <w:r>
        <w:rPr>
          <w:sz w:val="24"/>
          <w:szCs w:val="24"/>
        </w:rPr>
        <w:t xml:space="preserve">Nogle jødiske religionshistorikere vil hævde at Jesu lære i Bjergprædikenen (Matthæus-evangeliet 5, 17-48) kan rummes inden for jødedommen, bl.a. </w:t>
      </w:r>
      <w:proofErr w:type="spellStart"/>
      <w:r>
        <w:rPr>
          <w:sz w:val="24"/>
          <w:szCs w:val="24"/>
        </w:rPr>
        <w:t>Yehezkiel</w:t>
      </w:r>
      <w:proofErr w:type="spellEnd"/>
      <w:r>
        <w:rPr>
          <w:sz w:val="24"/>
          <w:szCs w:val="24"/>
        </w:rPr>
        <w:t xml:space="preserve"> Kaufmann (professor ved det Hebraiske universitet i Jerusalem), der skriver i sin bog </w:t>
      </w:r>
      <w:proofErr w:type="spellStart"/>
      <w:r>
        <w:rPr>
          <w:i/>
          <w:iCs/>
          <w:sz w:val="24"/>
          <w:szCs w:val="24"/>
        </w:rPr>
        <w:t>Christianity</w:t>
      </w:r>
      <w:proofErr w:type="spellEnd"/>
      <w:r>
        <w:rPr>
          <w:i/>
          <w:iCs/>
          <w:sz w:val="24"/>
          <w:szCs w:val="24"/>
        </w:rPr>
        <w:t xml:space="preserve"> and </w:t>
      </w:r>
      <w:proofErr w:type="spellStart"/>
      <w:r>
        <w:rPr>
          <w:i/>
          <w:iCs/>
          <w:sz w:val="24"/>
          <w:szCs w:val="24"/>
        </w:rPr>
        <w:t>Judaism</w:t>
      </w:r>
      <w:proofErr w:type="spellEnd"/>
      <w:r>
        <w:rPr>
          <w:i/>
          <w:iCs/>
          <w:sz w:val="24"/>
          <w:szCs w:val="24"/>
        </w:rPr>
        <w:t xml:space="preserve"> </w:t>
      </w:r>
      <w:r>
        <w:rPr>
          <w:sz w:val="24"/>
          <w:szCs w:val="24"/>
        </w:rPr>
        <w:t xml:space="preserve">(1988) s. 56: ”Jesus’ intent in the </w:t>
      </w:r>
      <w:proofErr w:type="spellStart"/>
      <w:r>
        <w:rPr>
          <w:sz w:val="24"/>
          <w:szCs w:val="24"/>
        </w:rPr>
        <w:t>Sermon</w:t>
      </w:r>
      <w:proofErr w:type="spellEnd"/>
      <w:r>
        <w:rPr>
          <w:sz w:val="24"/>
          <w:szCs w:val="24"/>
        </w:rPr>
        <w:t xml:space="preserve"> on the Mount </w:t>
      </w:r>
      <w:proofErr w:type="spellStart"/>
      <w:r>
        <w:rPr>
          <w:sz w:val="24"/>
          <w:szCs w:val="24"/>
        </w:rPr>
        <w:t>was</w:t>
      </w:r>
      <w:proofErr w:type="spellEnd"/>
      <w:r>
        <w:rPr>
          <w:sz w:val="24"/>
          <w:szCs w:val="24"/>
        </w:rPr>
        <w:t xml:space="preserve"> </w:t>
      </w:r>
      <w:proofErr w:type="spellStart"/>
      <w:r>
        <w:rPr>
          <w:sz w:val="24"/>
          <w:szCs w:val="24"/>
        </w:rPr>
        <w:t>only</w:t>
      </w:r>
      <w:proofErr w:type="spellEnd"/>
      <w:r>
        <w:rPr>
          <w:sz w:val="24"/>
          <w:szCs w:val="24"/>
        </w:rPr>
        <w:t xml:space="preserve"> ”to </w:t>
      </w:r>
      <w:proofErr w:type="spellStart"/>
      <w:r>
        <w:rPr>
          <w:sz w:val="24"/>
          <w:szCs w:val="24"/>
        </w:rPr>
        <w:t>build</w:t>
      </w:r>
      <w:proofErr w:type="spellEnd"/>
      <w:r>
        <w:rPr>
          <w:sz w:val="24"/>
          <w:szCs w:val="24"/>
        </w:rPr>
        <w:t xml:space="preserve"> a </w:t>
      </w:r>
      <w:proofErr w:type="spellStart"/>
      <w:r>
        <w:rPr>
          <w:sz w:val="24"/>
          <w:szCs w:val="24"/>
        </w:rPr>
        <w:t>fence</w:t>
      </w:r>
      <w:proofErr w:type="spellEnd"/>
      <w:r>
        <w:rPr>
          <w:sz w:val="24"/>
          <w:szCs w:val="24"/>
        </w:rPr>
        <w:t xml:space="preserve"> for the Law.</w:t>
      </w:r>
      <w:r>
        <w:rPr>
          <w:b/>
          <w:bCs/>
          <w:sz w:val="24"/>
          <w:szCs w:val="24"/>
        </w:rPr>
        <w:t xml:space="preserve"> </w:t>
      </w:r>
      <w:r>
        <w:rPr>
          <w:sz w:val="24"/>
          <w:szCs w:val="24"/>
        </w:rPr>
        <w:t xml:space="preserve">Jesus </w:t>
      </w:r>
      <w:proofErr w:type="spellStart"/>
      <w:r>
        <w:rPr>
          <w:sz w:val="24"/>
          <w:szCs w:val="24"/>
        </w:rPr>
        <w:t>pushed</w:t>
      </w:r>
      <w:proofErr w:type="spellEnd"/>
      <w:r>
        <w:rPr>
          <w:sz w:val="24"/>
          <w:szCs w:val="24"/>
        </w:rPr>
        <w:t xml:space="preserve"> </w:t>
      </w:r>
      <w:proofErr w:type="spellStart"/>
      <w:r>
        <w:rPr>
          <w:sz w:val="24"/>
          <w:szCs w:val="24"/>
        </w:rPr>
        <w:t>piety</w:t>
      </w:r>
      <w:proofErr w:type="spellEnd"/>
      <w:r>
        <w:rPr>
          <w:sz w:val="24"/>
          <w:szCs w:val="24"/>
        </w:rPr>
        <w:t xml:space="preserve"> to the </w:t>
      </w:r>
      <w:proofErr w:type="spellStart"/>
      <w:r>
        <w:rPr>
          <w:sz w:val="24"/>
          <w:szCs w:val="24"/>
        </w:rPr>
        <w:t>extreme</w:t>
      </w:r>
      <w:proofErr w:type="spellEnd"/>
      <w:r>
        <w:rPr>
          <w:sz w:val="24"/>
          <w:szCs w:val="24"/>
        </w:rPr>
        <w:t xml:space="preserve"> and </w:t>
      </w:r>
      <w:proofErr w:type="spellStart"/>
      <w:r>
        <w:rPr>
          <w:sz w:val="24"/>
          <w:szCs w:val="24"/>
        </w:rPr>
        <w:t>erected</w:t>
      </w:r>
      <w:proofErr w:type="spellEnd"/>
      <w:r>
        <w:rPr>
          <w:sz w:val="24"/>
          <w:szCs w:val="24"/>
        </w:rPr>
        <w:t xml:space="preserve"> </w:t>
      </w:r>
      <w:proofErr w:type="spellStart"/>
      <w:r>
        <w:rPr>
          <w:sz w:val="24"/>
          <w:szCs w:val="24"/>
        </w:rPr>
        <w:t>defenses</w:t>
      </w:r>
      <w:proofErr w:type="spellEnd"/>
      <w:r>
        <w:rPr>
          <w:sz w:val="24"/>
          <w:szCs w:val="24"/>
        </w:rPr>
        <w:t xml:space="preserve"> to </w:t>
      </w:r>
      <w:proofErr w:type="spellStart"/>
      <w:r>
        <w:rPr>
          <w:sz w:val="24"/>
          <w:szCs w:val="24"/>
        </w:rPr>
        <w:t>reinforce</w:t>
      </w:r>
      <w:proofErr w:type="spellEnd"/>
      <w:r>
        <w:rPr>
          <w:sz w:val="24"/>
          <w:szCs w:val="24"/>
        </w:rPr>
        <w:t xml:space="preserve"> and </w:t>
      </w:r>
      <w:proofErr w:type="spellStart"/>
      <w:r>
        <w:rPr>
          <w:sz w:val="24"/>
          <w:szCs w:val="24"/>
        </w:rPr>
        <w:t>strenghten</w:t>
      </w:r>
      <w:proofErr w:type="spellEnd"/>
      <w:r>
        <w:rPr>
          <w:sz w:val="24"/>
          <w:szCs w:val="24"/>
        </w:rPr>
        <w:t xml:space="preserve"> the Law” (Jesu hensigt med det, han sagde i Bjergprædikenen, var blot at “sætte et hegn omkring Loven”.  Jesus førte fromheden til det yderste og opsatte værn for at forstærke og styrke Loven”). Forklar Kaufmanns jødiske forståelse af Bjergprædikenen med to konkrete eksempler fra teksten ved at udfylde skemaet: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6"/>
        <w:gridCol w:w="4868"/>
      </w:tblGrid>
      <w:tr w:rsidR="002F74D0" w14:paraId="2DBD712B" w14:textId="77777777" w:rsidTr="00E83814">
        <w:tc>
          <w:tcPr>
            <w:tcW w:w="4889" w:type="dxa"/>
          </w:tcPr>
          <w:p w14:paraId="1F34B197" w14:textId="77777777" w:rsidR="002F74D0" w:rsidRDefault="002F74D0" w:rsidP="00E83814">
            <w:pPr>
              <w:spacing w:after="0" w:line="240" w:lineRule="auto"/>
              <w:rPr>
                <w:b/>
                <w:bCs/>
              </w:rPr>
            </w:pPr>
            <w:r>
              <w:rPr>
                <w:b/>
                <w:bCs/>
              </w:rPr>
              <w:t xml:space="preserve">De 10 bud                                                            </w:t>
            </w:r>
            <w:r>
              <w:rPr>
                <w:b/>
                <w:bCs/>
                <w:sz w:val="32"/>
                <w:szCs w:val="32"/>
              </w:rPr>
              <w:t>→</w:t>
            </w:r>
          </w:p>
        </w:tc>
        <w:tc>
          <w:tcPr>
            <w:tcW w:w="4889" w:type="dxa"/>
          </w:tcPr>
          <w:p w14:paraId="438DB09E" w14:textId="77777777" w:rsidR="002F74D0" w:rsidRDefault="002F74D0" w:rsidP="00E83814">
            <w:pPr>
              <w:spacing w:after="0" w:line="240" w:lineRule="auto"/>
              <w:rPr>
                <w:b/>
                <w:bCs/>
              </w:rPr>
            </w:pPr>
            <w:r>
              <w:rPr>
                <w:b/>
                <w:bCs/>
              </w:rPr>
              <w:t>Jesu tolkning af de ti bud = at sætte et hegn om loven</w:t>
            </w:r>
          </w:p>
        </w:tc>
      </w:tr>
      <w:tr w:rsidR="002F74D0" w14:paraId="58380D9C" w14:textId="77777777" w:rsidTr="00E83814">
        <w:tc>
          <w:tcPr>
            <w:tcW w:w="4889" w:type="dxa"/>
          </w:tcPr>
          <w:p w14:paraId="57AB5B4E" w14:textId="77777777" w:rsidR="002F74D0" w:rsidRDefault="002F74D0" w:rsidP="00E83814">
            <w:pPr>
              <w:spacing w:after="0" w:line="240" w:lineRule="auto"/>
            </w:pPr>
          </w:p>
          <w:p w14:paraId="63DAB39F" w14:textId="77777777" w:rsidR="002F74D0" w:rsidRDefault="002F74D0" w:rsidP="00E83814">
            <w:pPr>
              <w:spacing w:after="0" w:line="240" w:lineRule="auto"/>
            </w:pPr>
          </w:p>
        </w:tc>
        <w:tc>
          <w:tcPr>
            <w:tcW w:w="4889" w:type="dxa"/>
          </w:tcPr>
          <w:p w14:paraId="5829D75E" w14:textId="77777777" w:rsidR="002F74D0" w:rsidRDefault="002F74D0" w:rsidP="00E83814">
            <w:pPr>
              <w:spacing w:after="0" w:line="240" w:lineRule="auto"/>
            </w:pPr>
          </w:p>
        </w:tc>
      </w:tr>
      <w:tr w:rsidR="002F74D0" w14:paraId="309E842A" w14:textId="77777777" w:rsidTr="00E83814">
        <w:tc>
          <w:tcPr>
            <w:tcW w:w="4889" w:type="dxa"/>
          </w:tcPr>
          <w:p w14:paraId="796EF90D" w14:textId="77777777" w:rsidR="002F74D0" w:rsidRDefault="002F74D0" w:rsidP="00E83814">
            <w:pPr>
              <w:spacing w:after="0" w:line="240" w:lineRule="auto"/>
            </w:pPr>
          </w:p>
          <w:p w14:paraId="315570B1" w14:textId="77777777" w:rsidR="002F74D0" w:rsidRDefault="002F74D0" w:rsidP="00E83814">
            <w:pPr>
              <w:spacing w:after="0" w:line="240" w:lineRule="auto"/>
            </w:pPr>
          </w:p>
        </w:tc>
        <w:tc>
          <w:tcPr>
            <w:tcW w:w="4889" w:type="dxa"/>
          </w:tcPr>
          <w:p w14:paraId="35D111A4" w14:textId="77777777" w:rsidR="002F74D0" w:rsidRDefault="002F74D0" w:rsidP="00E83814">
            <w:pPr>
              <w:spacing w:after="0" w:line="240" w:lineRule="auto"/>
            </w:pPr>
          </w:p>
        </w:tc>
      </w:tr>
    </w:tbl>
    <w:p w14:paraId="4C4112F4" w14:textId="77777777" w:rsidR="002F74D0" w:rsidRDefault="002F74D0" w:rsidP="002F74D0">
      <w:pPr>
        <w:rPr>
          <w:rFonts w:ascii="Times New Roman" w:hAnsi="Times New Roman" w:cs="Times New Roman"/>
        </w:rPr>
      </w:pPr>
    </w:p>
    <w:p w14:paraId="7780F05B" w14:textId="77777777" w:rsidR="002F74D0" w:rsidRDefault="002F74D0" w:rsidP="002F74D0">
      <w:pPr>
        <w:pStyle w:val="Listeafsnit"/>
        <w:numPr>
          <w:ilvl w:val="0"/>
          <w:numId w:val="1"/>
        </w:numPr>
        <w:spacing w:line="256" w:lineRule="auto"/>
        <w:contextualSpacing w:val="0"/>
        <w:rPr>
          <w:sz w:val="24"/>
          <w:szCs w:val="24"/>
        </w:rPr>
      </w:pPr>
      <w:r>
        <w:rPr>
          <w:sz w:val="24"/>
          <w:szCs w:val="24"/>
        </w:rPr>
        <w:t xml:space="preserve">Kristendommens videre forløb har jo vist, at Jesus-bevægelsen i længden ikke kunne rummes inden for jødedommen. Hvis det ikke er Jesu lære, der adskiller jødedom og kristendom, hvad er det så? Vurdér hvad der adskiller de to religioner på baggrund af følgende fiktive dialog mellem to rabbinere på Jesu tid. Den ene rabbiner har lyttet til Jesus og hørt hans Bjergprædiken. Han taler nu med en anden rabbiner, der vil vide om Jesus følger traditionen fra </w:t>
      </w:r>
      <w:proofErr w:type="spellStart"/>
      <w:r>
        <w:rPr>
          <w:sz w:val="24"/>
          <w:szCs w:val="24"/>
        </w:rPr>
        <w:t>Talmud</w:t>
      </w:r>
      <w:proofErr w:type="spellEnd"/>
      <w:r>
        <w:rPr>
          <w:sz w:val="24"/>
          <w:szCs w:val="24"/>
        </w:rPr>
        <w:t xml:space="preserve"> (rabbinske kommentarer) om at sammenfatte </w:t>
      </w:r>
      <w:proofErr w:type="spellStart"/>
      <w:r>
        <w:rPr>
          <w:sz w:val="24"/>
          <w:szCs w:val="24"/>
        </w:rPr>
        <w:t>Torahens</w:t>
      </w:r>
      <w:proofErr w:type="spellEnd"/>
      <w:r>
        <w:rPr>
          <w:sz w:val="24"/>
          <w:szCs w:val="24"/>
        </w:rPr>
        <w:t xml:space="preserve"> 613 bud til nogle få mere væsentlige. </w:t>
      </w:r>
    </w:p>
    <w:p w14:paraId="2891CB78" w14:textId="77777777" w:rsidR="002F74D0" w:rsidRDefault="002F74D0" w:rsidP="002F74D0">
      <w:pPr>
        <w:pStyle w:val="Listeafsnit"/>
        <w:rPr>
          <w:sz w:val="24"/>
          <w:szCs w:val="24"/>
          <w:lang w:val="en-US"/>
        </w:rPr>
      </w:pPr>
      <w:proofErr w:type="gramStart"/>
      <w:r>
        <w:rPr>
          <w:sz w:val="24"/>
          <w:szCs w:val="24"/>
          <w:lang w:val="en-US"/>
        </w:rPr>
        <w:t>”Not</w:t>
      </w:r>
      <w:proofErr w:type="gramEnd"/>
      <w:r>
        <w:rPr>
          <w:sz w:val="24"/>
          <w:szCs w:val="24"/>
          <w:lang w:val="en-US"/>
        </w:rPr>
        <w:t xml:space="preserve"> exactly, but close” (Ikke </w:t>
      </w:r>
      <w:proofErr w:type="spellStart"/>
      <w:r>
        <w:rPr>
          <w:sz w:val="24"/>
          <w:szCs w:val="24"/>
          <w:lang w:val="en-US"/>
        </w:rPr>
        <w:t>helt</w:t>
      </w:r>
      <w:proofErr w:type="spellEnd"/>
      <w:r>
        <w:rPr>
          <w:sz w:val="24"/>
          <w:szCs w:val="24"/>
          <w:lang w:val="en-US"/>
        </w:rPr>
        <w:t xml:space="preserve">, men </w:t>
      </w:r>
      <w:proofErr w:type="spellStart"/>
      <w:r>
        <w:rPr>
          <w:sz w:val="24"/>
          <w:szCs w:val="24"/>
          <w:lang w:val="en-US"/>
        </w:rPr>
        <w:t>næsten</w:t>
      </w:r>
      <w:proofErr w:type="spellEnd"/>
      <w:r>
        <w:rPr>
          <w:sz w:val="24"/>
          <w:szCs w:val="24"/>
          <w:lang w:val="en-US"/>
        </w:rPr>
        <w:t>)</w:t>
      </w:r>
    </w:p>
    <w:p w14:paraId="7C379088" w14:textId="77777777" w:rsidR="002F74D0" w:rsidRDefault="002F74D0" w:rsidP="002F74D0">
      <w:pPr>
        <w:pStyle w:val="Listeafsnit"/>
        <w:rPr>
          <w:sz w:val="24"/>
          <w:szCs w:val="24"/>
        </w:rPr>
      </w:pPr>
      <w:proofErr w:type="gramStart"/>
      <w:r>
        <w:rPr>
          <w:sz w:val="24"/>
          <w:szCs w:val="24"/>
          <w:lang w:val="en-US"/>
        </w:rPr>
        <w:t>”What</w:t>
      </w:r>
      <w:proofErr w:type="gramEnd"/>
      <w:r>
        <w:rPr>
          <w:sz w:val="24"/>
          <w:szCs w:val="24"/>
          <w:lang w:val="en-US"/>
        </w:rPr>
        <w:t xml:space="preserve"> did he leave out?” </w:t>
      </w:r>
      <w:r>
        <w:rPr>
          <w:sz w:val="24"/>
          <w:szCs w:val="24"/>
        </w:rPr>
        <w:t>(Hvad udelod han?)</w:t>
      </w:r>
    </w:p>
    <w:p w14:paraId="7AB0BEB8" w14:textId="77777777" w:rsidR="002F74D0" w:rsidRPr="00B95142" w:rsidRDefault="002F74D0" w:rsidP="002F74D0">
      <w:pPr>
        <w:pStyle w:val="Listeafsnit"/>
        <w:rPr>
          <w:sz w:val="24"/>
          <w:szCs w:val="24"/>
        </w:rPr>
      </w:pPr>
      <w:r w:rsidRPr="00B95142">
        <w:rPr>
          <w:sz w:val="24"/>
          <w:szCs w:val="24"/>
        </w:rPr>
        <w:t>”</w:t>
      </w:r>
      <w:proofErr w:type="spellStart"/>
      <w:r w:rsidRPr="00B95142">
        <w:rPr>
          <w:sz w:val="24"/>
          <w:szCs w:val="24"/>
        </w:rPr>
        <w:t>Nothing</w:t>
      </w:r>
      <w:proofErr w:type="spellEnd"/>
      <w:r w:rsidRPr="00B95142">
        <w:rPr>
          <w:sz w:val="24"/>
          <w:szCs w:val="24"/>
        </w:rPr>
        <w:t>” (Ingenting)</w:t>
      </w:r>
    </w:p>
    <w:p w14:paraId="699188DC" w14:textId="77777777" w:rsidR="002F74D0" w:rsidRDefault="002F74D0" w:rsidP="002F74D0">
      <w:pPr>
        <w:pStyle w:val="Listeafsnit"/>
        <w:rPr>
          <w:sz w:val="24"/>
          <w:szCs w:val="24"/>
        </w:rPr>
      </w:pPr>
      <w:proofErr w:type="gramStart"/>
      <w:r>
        <w:rPr>
          <w:sz w:val="24"/>
          <w:szCs w:val="24"/>
          <w:lang w:val="en-US"/>
        </w:rPr>
        <w:t>”Then</w:t>
      </w:r>
      <w:proofErr w:type="gramEnd"/>
      <w:r>
        <w:rPr>
          <w:sz w:val="24"/>
          <w:szCs w:val="24"/>
          <w:lang w:val="en-US"/>
        </w:rPr>
        <w:t xml:space="preserve"> what did he add?” </w:t>
      </w:r>
      <w:r>
        <w:rPr>
          <w:sz w:val="24"/>
          <w:szCs w:val="24"/>
        </w:rPr>
        <w:t>(Hvad tilføjede han så?)</w:t>
      </w:r>
    </w:p>
    <w:p w14:paraId="0F3C4F0B" w14:textId="77777777" w:rsidR="002F74D0" w:rsidRDefault="002F74D0" w:rsidP="002F74D0">
      <w:pPr>
        <w:pStyle w:val="Listeafsnit"/>
        <w:rPr>
          <w:sz w:val="24"/>
          <w:szCs w:val="24"/>
        </w:rPr>
      </w:pPr>
      <w:r>
        <w:rPr>
          <w:sz w:val="24"/>
          <w:szCs w:val="24"/>
        </w:rPr>
        <w:t>”Himself” (Sig selv)</w:t>
      </w:r>
    </w:p>
    <w:p w14:paraId="17B11AC9" w14:textId="77777777" w:rsidR="002F74D0" w:rsidRDefault="002F74D0" w:rsidP="002F74D0">
      <w:pPr>
        <w:pStyle w:val="Listeafsnit"/>
        <w:rPr>
          <w:sz w:val="24"/>
          <w:szCs w:val="24"/>
        </w:rPr>
      </w:pPr>
      <w:r>
        <w:rPr>
          <w:sz w:val="24"/>
          <w:szCs w:val="24"/>
          <w:lang w:val="en-US"/>
        </w:rPr>
        <w:t xml:space="preserve">(Jacob Neusner: </w:t>
      </w:r>
      <w:r>
        <w:rPr>
          <w:i/>
          <w:iCs/>
          <w:sz w:val="24"/>
          <w:szCs w:val="24"/>
          <w:lang w:val="en-US"/>
        </w:rPr>
        <w:t>A rabbi talks with Jesus,</w:t>
      </w:r>
      <w:r>
        <w:rPr>
          <w:sz w:val="24"/>
          <w:szCs w:val="24"/>
          <w:lang w:val="en-US"/>
        </w:rPr>
        <w:t xml:space="preserve"> p. 108. </w:t>
      </w:r>
      <w:r>
        <w:rPr>
          <w:sz w:val="24"/>
          <w:szCs w:val="24"/>
        </w:rPr>
        <w:t>2000)</w:t>
      </w:r>
    </w:p>
    <w:p w14:paraId="005D56EF" w14:textId="77777777" w:rsidR="002F74D0" w:rsidRDefault="002F74D0" w:rsidP="002F74D0">
      <w:pPr>
        <w:pStyle w:val="Listeafsnit"/>
        <w:rPr>
          <w:sz w:val="24"/>
          <w:szCs w:val="24"/>
        </w:rPr>
      </w:pPr>
    </w:p>
    <w:p w14:paraId="17DCADFF" w14:textId="77777777" w:rsidR="002F74D0" w:rsidRDefault="002F74D0" w:rsidP="002F74D0">
      <w:pPr>
        <w:pStyle w:val="Listeafsnit"/>
        <w:numPr>
          <w:ilvl w:val="0"/>
          <w:numId w:val="1"/>
        </w:numPr>
        <w:spacing w:line="256" w:lineRule="auto"/>
        <w:contextualSpacing w:val="0"/>
        <w:rPr>
          <w:sz w:val="24"/>
          <w:szCs w:val="24"/>
        </w:rPr>
      </w:pPr>
      <w:r>
        <w:rPr>
          <w:sz w:val="24"/>
          <w:szCs w:val="24"/>
        </w:rPr>
        <w:t>Lav en religionsfaglig analyse af Markus-evangeliet 12, 28-34:</w:t>
      </w:r>
    </w:p>
    <w:p w14:paraId="080BD8B2" w14:textId="77777777" w:rsidR="002F74D0" w:rsidRDefault="002F74D0" w:rsidP="002F74D0">
      <w:pPr>
        <w:pStyle w:val="Listeafsnit"/>
        <w:rPr>
          <w:color w:val="000000"/>
          <w:sz w:val="24"/>
          <w:szCs w:val="24"/>
        </w:rPr>
      </w:pPr>
      <w:r>
        <w:rPr>
          <w:i/>
          <w:iCs/>
          <w:sz w:val="24"/>
          <w:szCs w:val="24"/>
        </w:rPr>
        <w:t>Referatplan:</w:t>
      </w:r>
      <w:r>
        <w:rPr>
          <w:b/>
          <w:bCs/>
          <w:sz w:val="24"/>
          <w:szCs w:val="24"/>
        </w:rPr>
        <w:t xml:space="preserve"> </w:t>
      </w:r>
      <w:r>
        <w:rPr>
          <w:color w:val="000000"/>
          <w:sz w:val="24"/>
          <w:szCs w:val="24"/>
        </w:rPr>
        <w:t>Teksten refereres kort.</w:t>
      </w:r>
    </w:p>
    <w:p w14:paraId="4984EA54" w14:textId="77777777" w:rsidR="002F74D0" w:rsidRDefault="002F74D0" w:rsidP="002F74D0">
      <w:pPr>
        <w:pStyle w:val="Listeafsnit"/>
        <w:rPr>
          <w:rFonts w:ascii="Comic Sans MS" w:hAnsi="Comic Sans MS" w:cs="Comic Sans MS"/>
          <w:color w:val="000000"/>
          <w:sz w:val="28"/>
          <w:szCs w:val="28"/>
        </w:rPr>
      </w:pPr>
      <w:r>
        <w:rPr>
          <w:i/>
          <w:iCs/>
          <w:sz w:val="24"/>
          <w:szCs w:val="24"/>
        </w:rPr>
        <w:t>Analyseplan</w:t>
      </w:r>
      <w:r>
        <w:rPr>
          <w:sz w:val="24"/>
          <w:szCs w:val="24"/>
        </w:rPr>
        <w:t xml:space="preserve">: </w:t>
      </w:r>
      <w:r>
        <w:rPr>
          <w:color w:val="000000"/>
          <w:sz w:val="24"/>
          <w:szCs w:val="24"/>
        </w:rPr>
        <w:t>Gå teksten igennem og find nøgleord, vigtige pointer, begreber, begrund jeres valg.</w:t>
      </w:r>
    </w:p>
    <w:p w14:paraId="0B1E775C" w14:textId="77777777" w:rsidR="002F74D0" w:rsidRDefault="002F74D0" w:rsidP="002F74D0">
      <w:pPr>
        <w:pStyle w:val="Listeafsnit"/>
        <w:rPr>
          <w:sz w:val="24"/>
          <w:szCs w:val="24"/>
        </w:rPr>
      </w:pPr>
      <w:r>
        <w:rPr>
          <w:i/>
          <w:iCs/>
          <w:sz w:val="24"/>
          <w:szCs w:val="24"/>
        </w:rPr>
        <w:t>Fortolkningsplan:</w:t>
      </w:r>
      <w:r>
        <w:rPr>
          <w:sz w:val="24"/>
          <w:szCs w:val="24"/>
        </w:rPr>
        <w:t xml:space="preserve"> Tekstens tema fremlægges.</w:t>
      </w:r>
    </w:p>
    <w:p w14:paraId="2AD5BE1E" w14:textId="3A186FBE" w:rsidR="002F74D0" w:rsidRDefault="002F74D0" w:rsidP="002F74D0">
      <w:pPr>
        <w:pStyle w:val="Listeafsnit"/>
        <w:rPr>
          <w:rFonts w:ascii="Times New Roman" w:hAnsi="Times New Roman" w:cs="Times New Roman"/>
          <w:sz w:val="24"/>
          <w:szCs w:val="24"/>
        </w:rPr>
      </w:pPr>
      <w:r>
        <w:rPr>
          <w:i/>
          <w:iCs/>
          <w:sz w:val="24"/>
          <w:szCs w:val="24"/>
        </w:rPr>
        <w:lastRenderedPageBreak/>
        <w:t>Perspektiveringsplan:</w:t>
      </w:r>
      <w:r>
        <w:rPr>
          <w:sz w:val="24"/>
          <w:szCs w:val="24"/>
        </w:rPr>
        <w:t xml:space="preserve"> Sammenlign forholdet mellem Jesus og den skriftkloge med de to parters forhold, som det beskrives i Markusevangeliet 2, 1-12. </w:t>
      </w:r>
      <w:r>
        <w:rPr>
          <w:color w:val="FF0000"/>
          <w:sz w:val="24"/>
          <w:szCs w:val="24"/>
        </w:rPr>
        <w:t xml:space="preserve"> </w:t>
      </w:r>
    </w:p>
    <w:p w14:paraId="64EB597E" w14:textId="77777777" w:rsidR="002F74D0" w:rsidRDefault="002F74D0" w:rsidP="002F74D0">
      <w:pPr>
        <w:autoSpaceDE w:val="0"/>
        <w:autoSpaceDN w:val="0"/>
        <w:adjustRightInd w:val="0"/>
        <w:spacing w:after="30" w:line="276" w:lineRule="auto"/>
        <w:rPr>
          <w:b/>
          <w:bCs/>
          <w:color w:val="000000"/>
          <w:sz w:val="24"/>
          <w:szCs w:val="24"/>
          <w:lang w:eastAsia="da-DK"/>
        </w:rPr>
      </w:pPr>
      <w:r>
        <w:rPr>
          <w:b/>
          <w:bCs/>
          <w:color w:val="000000"/>
          <w:sz w:val="24"/>
          <w:szCs w:val="24"/>
          <w:lang w:eastAsia="da-DK"/>
        </w:rPr>
        <w:t>5: Jesus som historiefortæller</w:t>
      </w:r>
    </w:p>
    <w:p w14:paraId="33D51363" w14:textId="77777777" w:rsidR="002F74D0" w:rsidRDefault="002F74D0" w:rsidP="002F74D0">
      <w:pPr>
        <w:autoSpaceDE w:val="0"/>
        <w:autoSpaceDN w:val="0"/>
        <w:adjustRightInd w:val="0"/>
        <w:spacing w:after="30" w:line="276" w:lineRule="auto"/>
        <w:rPr>
          <w:color w:val="000000"/>
          <w:sz w:val="24"/>
          <w:szCs w:val="24"/>
          <w:lang w:eastAsia="da-DK"/>
        </w:rPr>
      </w:pPr>
      <w:r>
        <w:rPr>
          <w:color w:val="000000"/>
          <w:sz w:val="24"/>
          <w:szCs w:val="24"/>
          <w:lang w:eastAsia="da-DK"/>
        </w:rPr>
        <w:t>Fokus på analyse af Jesu lignelser</w:t>
      </w:r>
    </w:p>
    <w:p w14:paraId="105583ED" w14:textId="77777777" w:rsidR="002F74D0" w:rsidRDefault="002F74D0" w:rsidP="002F74D0">
      <w:pPr>
        <w:autoSpaceDE w:val="0"/>
        <w:autoSpaceDN w:val="0"/>
        <w:adjustRightInd w:val="0"/>
        <w:spacing w:after="30" w:line="276" w:lineRule="auto"/>
        <w:rPr>
          <w:color w:val="000000"/>
          <w:sz w:val="24"/>
          <w:szCs w:val="24"/>
          <w:lang w:eastAsia="da-DK"/>
        </w:rPr>
      </w:pPr>
      <w:r>
        <w:rPr>
          <w:color w:val="000000"/>
          <w:sz w:val="24"/>
          <w:szCs w:val="24"/>
          <w:lang w:eastAsia="da-DK"/>
        </w:rPr>
        <w:t>Kilder: Matthæusevangeliet 20, 1-16. Lukasevangeliet 10, 25-37. Lukasevangeliet 15, 11-32.</w:t>
      </w:r>
    </w:p>
    <w:p w14:paraId="3BB2CF19" w14:textId="77777777" w:rsidR="002F74D0" w:rsidRDefault="002F74D0" w:rsidP="002F74D0">
      <w:pPr>
        <w:autoSpaceDE w:val="0"/>
        <w:autoSpaceDN w:val="0"/>
        <w:adjustRightInd w:val="0"/>
        <w:spacing w:after="30" w:line="276" w:lineRule="auto"/>
        <w:rPr>
          <w:color w:val="000000"/>
          <w:sz w:val="24"/>
          <w:szCs w:val="24"/>
          <w:lang w:eastAsia="da-DK"/>
        </w:rPr>
      </w:pPr>
      <w:r>
        <w:rPr>
          <w:color w:val="000000"/>
          <w:sz w:val="24"/>
          <w:szCs w:val="24"/>
        </w:rPr>
        <w:t xml:space="preserve">Baggrundsstof: </w:t>
      </w:r>
      <w:r>
        <w:rPr>
          <w:color w:val="000000"/>
          <w:sz w:val="24"/>
          <w:szCs w:val="24"/>
          <w:lang w:eastAsia="da-DK"/>
        </w:rPr>
        <w:t>Religioner lever. Lindhardt og Ringhof. 2017, s. 66-67</w:t>
      </w:r>
    </w:p>
    <w:p w14:paraId="55BFCE2B" w14:textId="77777777" w:rsidR="002F74D0" w:rsidRDefault="002F74D0" w:rsidP="002F74D0">
      <w:pPr>
        <w:autoSpaceDE w:val="0"/>
        <w:autoSpaceDN w:val="0"/>
        <w:adjustRightInd w:val="0"/>
        <w:spacing w:after="30" w:line="276" w:lineRule="auto"/>
        <w:rPr>
          <w:color w:val="000000"/>
          <w:sz w:val="24"/>
          <w:szCs w:val="24"/>
          <w:lang w:eastAsia="da-DK"/>
        </w:rPr>
      </w:pPr>
      <w:r>
        <w:rPr>
          <w:color w:val="000000"/>
          <w:sz w:val="24"/>
          <w:szCs w:val="24"/>
          <w:lang w:eastAsia="da-DK"/>
        </w:rPr>
        <w:t>Øvelser:</w:t>
      </w:r>
    </w:p>
    <w:p w14:paraId="3A552A87" w14:textId="77777777" w:rsidR="002F74D0" w:rsidRDefault="002F74D0" w:rsidP="002F74D0">
      <w:pPr>
        <w:pStyle w:val="Listeafsnit"/>
        <w:numPr>
          <w:ilvl w:val="0"/>
          <w:numId w:val="1"/>
        </w:numPr>
        <w:spacing w:line="256" w:lineRule="auto"/>
        <w:contextualSpacing w:val="0"/>
        <w:rPr>
          <w:sz w:val="24"/>
          <w:szCs w:val="24"/>
        </w:rPr>
      </w:pPr>
      <w:r>
        <w:rPr>
          <w:sz w:val="24"/>
          <w:szCs w:val="24"/>
        </w:rPr>
        <w:t xml:space="preserve">Lav en indholds- og begrebsanalyse af lignelsen om den barmhjertige samaritaner, idet I finder rammen, </w:t>
      </w:r>
      <w:proofErr w:type="spellStart"/>
      <w:r>
        <w:rPr>
          <w:sz w:val="24"/>
          <w:szCs w:val="24"/>
        </w:rPr>
        <w:t>sagdelen</w:t>
      </w:r>
      <w:proofErr w:type="spellEnd"/>
      <w:r>
        <w:rPr>
          <w:sz w:val="24"/>
          <w:szCs w:val="24"/>
        </w:rPr>
        <w:t xml:space="preserve"> og billeddelen i teksten (Lukasevangeliet 10, 25-37).</w:t>
      </w:r>
    </w:p>
    <w:p w14:paraId="704D4DE3" w14:textId="77777777" w:rsidR="002F74D0" w:rsidRDefault="002F74D0" w:rsidP="002F74D0">
      <w:pPr>
        <w:pStyle w:val="Listeafsnit"/>
        <w:numPr>
          <w:ilvl w:val="0"/>
          <w:numId w:val="1"/>
        </w:numPr>
        <w:spacing w:line="256" w:lineRule="auto"/>
        <w:contextualSpacing w:val="0"/>
        <w:rPr>
          <w:sz w:val="24"/>
          <w:szCs w:val="24"/>
        </w:rPr>
      </w:pPr>
      <w:r>
        <w:rPr>
          <w:sz w:val="24"/>
          <w:szCs w:val="24"/>
        </w:rPr>
        <w:t>Nedskriv tre temaer i lignelsen om den fortabte søn (Lukasevangeliet 15, 11-32). Begrund jeres valg.</w:t>
      </w:r>
    </w:p>
    <w:p w14:paraId="60B1FD4A" w14:textId="77777777" w:rsidR="002F74D0" w:rsidRDefault="002F74D0" w:rsidP="002F74D0">
      <w:pPr>
        <w:pStyle w:val="Listeafsnit"/>
        <w:numPr>
          <w:ilvl w:val="0"/>
          <w:numId w:val="1"/>
        </w:numPr>
        <w:spacing w:line="256" w:lineRule="auto"/>
        <w:contextualSpacing w:val="0"/>
        <w:rPr>
          <w:sz w:val="24"/>
          <w:szCs w:val="24"/>
        </w:rPr>
      </w:pPr>
      <w:r>
        <w:rPr>
          <w:sz w:val="24"/>
          <w:szCs w:val="24"/>
        </w:rPr>
        <w:t>Diskuter hvad lønnen kan være en metafor for i lignelsen i Matthæusevangeliet 20, 1-16.</w:t>
      </w:r>
    </w:p>
    <w:p w14:paraId="274EFB97" w14:textId="77777777" w:rsidR="002F74D0" w:rsidRDefault="002F74D0" w:rsidP="002F74D0">
      <w:pPr>
        <w:autoSpaceDE w:val="0"/>
        <w:autoSpaceDN w:val="0"/>
        <w:adjustRightInd w:val="0"/>
        <w:spacing w:after="30" w:line="276" w:lineRule="auto"/>
        <w:rPr>
          <w:color w:val="000000"/>
          <w:sz w:val="24"/>
          <w:szCs w:val="24"/>
          <w:lang w:eastAsia="da-DK"/>
        </w:rPr>
      </w:pPr>
    </w:p>
    <w:p w14:paraId="1C16A56D" w14:textId="77777777" w:rsidR="002F74D0" w:rsidRDefault="002F74D0" w:rsidP="002F74D0">
      <w:pPr>
        <w:autoSpaceDE w:val="0"/>
        <w:autoSpaceDN w:val="0"/>
        <w:adjustRightInd w:val="0"/>
        <w:spacing w:after="30" w:line="276" w:lineRule="auto"/>
        <w:rPr>
          <w:b/>
          <w:bCs/>
          <w:color w:val="000000"/>
          <w:sz w:val="24"/>
          <w:szCs w:val="24"/>
          <w:lang w:eastAsia="da-DK"/>
        </w:rPr>
      </w:pPr>
      <w:r>
        <w:rPr>
          <w:b/>
          <w:bCs/>
          <w:color w:val="000000"/>
          <w:sz w:val="24"/>
          <w:szCs w:val="24"/>
          <w:lang w:eastAsia="da-DK"/>
        </w:rPr>
        <w:t>6: Jesus som helbreder</w:t>
      </w:r>
    </w:p>
    <w:p w14:paraId="2BD50AB6" w14:textId="77777777" w:rsidR="002F74D0" w:rsidRDefault="002F74D0" w:rsidP="002F74D0">
      <w:pPr>
        <w:spacing w:after="0" w:line="240" w:lineRule="auto"/>
        <w:rPr>
          <w:sz w:val="24"/>
          <w:szCs w:val="24"/>
          <w:lang w:eastAsia="da-DK"/>
        </w:rPr>
      </w:pPr>
      <w:r>
        <w:rPr>
          <w:sz w:val="24"/>
          <w:szCs w:val="24"/>
          <w:lang w:eastAsia="da-DK"/>
        </w:rPr>
        <w:t>Fokus på analyse af Jesu mirakler</w:t>
      </w:r>
    </w:p>
    <w:p w14:paraId="27089FDE" w14:textId="77777777" w:rsidR="002F74D0" w:rsidRDefault="002F74D0" w:rsidP="002F74D0">
      <w:pPr>
        <w:spacing w:after="0" w:line="240" w:lineRule="auto"/>
        <w:rPr>
          <w:sz w:val="24"/>
          <w:szCs w:val="24"/>
          <w:lang w:eastAsia="da-DK"/>
        </w:rPr>
      </w:pPr>
      <w:r>
        <w:rPr>
          <w:sz w:val="24"/>
          <w:szCs w:val="24"/>
          <w:lang w:eastAsia="da-DK"/>
        </w:rPr>
        <w:t>Kilder: Markusevangeliet 2,1-17</w:t>
      </w:r>
    </w:p>
    <w:p w14:paraId="10E9C086" w14:textId="77777777" w:rsidR="002F74D0" w:rsidRDefault="002F74D0" w:rsidP="002F74D0">
      <w:pPr>
        <w:autoSpaceDE w:val="0"/>
        <w:autoSpaceDN w:val="0"/>
        <w:adjustRightInd w:val="0"/>
        <w:spacing w:after="30" w:line="276" w:lineRule="auto"/>
        <w:rPr>
          <w:color w:val="000000"/>
          <w:sz w:val="24"/>
          <w:szCs w:val="24"/>
          <w:lang w:eastAsia="da-DK"/>
        </w:rPr>
      </w:pPr>
      <w:r>
        <w:rPr>
          <w:color w:val="000000"/>
          <w:sz w:val="24"/>
          <w:szCs w:val="24"/>
        </w:rPr>
        <w:t xml:space="preserve">Baggrundsstof: </w:t>
      </w:r>
      <w:r>
        <w:rPr>
          <w:color w:val="000000"/>
          <w:sz w:val="24"/>
          <w:szCs w:val="24"/>
          <w:lang w:eastAsia="da-DK"/>
        </w:rPr>
        <w:t>Religioner lever. Lindhardt og Ringhof. 2017, s. 67</w:t>
      </w:r>
    </w:p>
    <w:p w14:paraId="728B82FC" w14:textId="77777777" w:rsidR="002F74D0" w:rsidRDefault="002F74D0" w:rsidP="002F74D0">
      <w:pPr>
        <w:autoSpaceDE w:val="0"/>
        <w:autoSpaceDN w:val="0"/>
        <w:adjustRightInd w:val="0"/>
        <w:spacing w:after="30" w:line="276" w:lineRule="auto"/>
        <w:rPr>
          <w:color w:val="000000"/>
          <w:sz w:val="24"/>
          <w:szCs w:val="24"/>
          <w:lang w:eastAsia="da-DK"/>
        </w:rPr>
      </w:pPr>
      <w:r>
        <w:rPr>
          <w:color w:val="000000"/>
          <w:sz w:val="24"/>
          <w:szCs w:val="24"/>
          <w:lang w:eastAsia="da-DK"/>
        </w:rPr>
        <w:t>Øvelser:</w:t>
      </w:r>
    </w:p>
    <w:p w14:paraId="6D2CE120" w14:textId="77777777" w:rsidR="002F74D0" w:rsidRDefault="002F74D0" w:rsidP="002F74D0">
      <w:pPr>
        <w:pStyle w:val="Listeafsnit"/>
        <w:numPr>
          <w:ilvl w:val="0"/>
          <w:numId w:val="1"/>
        </w:numPr>
        <w:spacing w:after="0" w:line="240" w:lineRule="auto"/>
        <w:contextualSpacing w:val="0"/>
        <w:rPr>
          <w:rFonts w:ascii="Times New Roman" w:hAnsi="Times New Roman" w:cs="Times New Roman"/>
          <w:sz w:val="24"/>
          <w:szCs w:val="24"/>
          <w:lang w:eastAsia="da-DK"/>
        </w:rPr>
      </w:pPr>
      <w:r>
        <w:rPr>
          <w:rFonts w:ascii="Times New Roman" w:hAnsi="Times New Roman" w:cs="Times New Roman"/>
          <w:sz w:val="24"/>
          <w:szCs w:val="24"/>
          <w:lang w:eastAsia="da-DK"/>
        </w:rPr>
        <w:t>Analysér mirakelberetningen i Markus-evangeliet 2,1-17 idet I anvender strukturen i mirakelberetninger på kilden.</w:t>
      </w:r>
    </w:p>
    <w:p w14:paraId="6DC571E6" w14:textId="77777777" w:rsidR="002F74D0" w:rsidRDefault="002F74D0" w:rsidP="002F74D0">
      <w:pPr>
        <w:ind w:left="360"/>
        <w:rPr>
          <w:sz w:val="24"/>
          <w:szCs w:val="24"/>
        </w:rPr>
      </w:pPr>
      <w:r>
        <w:rPr>
          <w:sz w:val="24"/>
          <w:szCs w:val="24"/>
        </w:rPr>
        <w:t xml:space="preserve"> Ifølge kristendommen er Jesu mirakler en opfyldelse af messianske profetier. Vend tilbage til opgave 7 og find ud af hvilke.  </w:t>
      </w:r>
    </w:p>
    <w:p w14:paraId="4AAF6656" w14:textId="77777777" w:rsidR="002F74D0" w:rsidRDefault="002F74D0" w:rsidP="002F74D0">
      <w:pPr>
        <w:pStyle w:val="Listeafsnit"/>
        <w:numPr>
          <w:ilvl w:val="0"/>
          <w:numId w:val="1"/>
        </w:numPr>
        <w:spacing w:line="256" w:lineRule="auto"/>
        <w:contextualSpacing w:val="0"/>
        <w:rPr>
          <w:sz w:val="24"/>
          <w:szCs w:val="24"/>
        </w:rPr>
      </w:pPr>
      <w:r>
        <w:rPr>
          <w:sz w:val="24"/>
          <w:szCs w:val="24"/>
        </w:rPr>
        <w:t>Lav en religionsfænomenologisk analyse af en af evangeliernes mirakelberetninger.</w:t>
      </w:r>
    </w:p>
    <w:p w14:paraId="45F5CCBB" w14:textId="77777777" w:rsidR="002F74D0" w:rsidRDefault="002F74D0" w:rsidP="002F74D0">
      <w:pPr>
        <w:pStyle w:val="Listeafsnit"/>
        <w:numPr>
          <w:ilvl w:val="0"/>
          <w:numId w:val="1"/>
        </w:numPr>
        <w:spacing w:line="256" w:lineRule="auto"/>
        <w:contextualSpacing w:val="0"/>
        <w:rPr>
          <w:sz w:val="24"/>
          <w:szCs w:val="24"/>
        </w:rPr>
      </w:pPr>
      <w:r>
        <w:rPr>
          <w:sz w:val="24"/>
          <w:szCs w:val="24"/>
        </w:rPr>
        <w:t>Giv en karakteristik af Jesus-bevægelsen ud fra Markus-evangeliet 2, 13-17. Hvad er en tolder? Hvad er en skriftklog? (</w:t>
      </w:r>
      <w:hyperlink r:id="rId7" w:history="1">
        <w:r>
          <w:rPr>
            <w:rStyle w:val="Hyperlink"/>
            <w:rFonts w:cs="Calibri"/>
            <w:sz w:val="24"/>
            <w:szCs w:val="24"/>
          </w:rPr>
          <w:t>https://www.religion.dk/leksikon/D?page=2</w:t>
        </w:r>
      </w:hyperlink>
      <w:r>
        <w:rPr>
          <w:sz w:val="24"/>
          <w:szCs w:val="24"/>
        </w:rPr>
        <w:t>).</w:t>
      </w:r>
    </w:p>
    <w:p w14:paraId="01BBF376" w14:textId="77777777" w:rsidR="002F74D0" w:rsidRDefault="002F74D0" w:rsidP="002F74D0">
      <w:pPr>
        <w:pStyle w:val="Listeafsnit"/>
        <w:numPr>
          <w:ilvl w:val="0"/>
          <w:numId w:val="1"/>
        </w:numPr>
        <w:spacing w:line="256" w:lineRule="auto"/>
        <w:contextualSpacing w:val="0"/>
        <w:rPr>
          <w:rFonts w:ascii="Times New Roman" w:hAnsi="Times New Roman" w:cs="Times New Roman"/>
          <w:sz w:val="24"/>
          <w:szCs w:val="24"/>
        </w:rPr>
      </w:pPr>
      <w:r>
        <w:rPr>
          <w:sz w:val="24"/>
          <w:szCs w:val="24"/>
        </w:rPr>
        <w:t>Hvilken reaktion hos de skriftkloge vækker Jesu måltidsfællesskab med ”toldere og syndere”? Forklar religionsfagligt hvorfor, med inddragelse af Mary Douglas’ teori om rent og urent (se Religioner lever, s. 25-26).</w:t>
      </w:r>
    </w:p>
    <w:p w14:paraId="3020645F" w14:textId="77777777" w:rsidR="002C0DC7" w:rsidRDefault="002C0DC7"/>
    <w:sectPr w:rsidR="002C0DC7">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8067" w14:textId="77777777" w:rsidR="002F74D0" w:rsidRDefault="002F74D0" w:rsidP="002F74D0">
      <w:pPr>
        <w:spacing w:after="0" w:line="240" w:lineRule="auto"/>
      </w:pPr>
      <w:r>
        <w:separator/>
      </w:r>
    </w:p>
  </w:endnote>
  <w:endnote w:type="continuationSeparator" w:id="0">
    <w:p w14:paraId="565EE028" w14:textId="77777777" w:rsidR="002F74D0" w:rsidRDefault="002F74D0" w:rsidP="002F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3438" w14:textId="77777777" w:rsidR="002F74D0" w:rsidRDefault="002F74D0" w:rsidP="002F74D0">
      <w:pPr>
        <w:spacing w:after="0" w:line="240" w:lineRule="auto"/>
      </w:pPr>
      <w:r>
        <w:separator/>
      </w:r>
    </w:p>
  </w:footnote>
  <w:footnote w:type="continuationSeparator" w:id="0">
    <w:p w14:paraId="6B745F4A" w14:textId="77777777" w:rsidR="002F74D0" w:rsidRDefault="002F74D0" w:rsidP="002F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1DA5" w14:textId="0B6EF0CC" w:rsidR="002F74D0" w:rsidRDefault="002F74D0">
    <w:pPr>
      <w:pStyle w:val="Sidehoved"/>
    </w:pPr>
    <w:r>
      <w:t>23w KD 2 - Jesus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92D"/>
    <w:multiLevelType w:val="hybridMultilevel"/>
    <w:tmpl w:val="77347E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BD05743"/>
    <w:multiLevelType w:val="hybridMultilevel"/>
    <w:tmpl w:val="925A03B4"/>
    <w:lvl w:ilvl="0" w:tplc="4C2A684A">
      <w:start w:val="1"/>
      <w:numFmt w:val="decimal"/>
      <w:lvlText w:val="%1."/>
      <w:lvlJc w:val="left"/>
      <w:pPr>
        <w:ind w:left="785" w:hanging="360"/>
      </w:pPr>
      <w:rPr>
        <w:rFonts w:ascii="Calibri" w:hAnsi="Calibri" w:cs="Calibri" w:hint="default"/>
        <w:b w:val="0"/>
        <w:bCs w:val="0"/>
        <w:sz w:val="24"/>
        <w:szCs w:val="24"/>
      </w:rPr>
    </w:lvl>
    <w:lvl w:ilvl="1" w:tplc="04060019">
      <w:start w:val="1"/>
      <w:numFmt w:val="lowerLetter"/>
      <w:lvlText w:val="%2."/>
      <w:lvlJc w:val="left"/>
      <w:pPr>
        <w:ind w:left="1440" w:hanging="360"/>
      </w:pPr>
      <w:rPr>
        <w:rFonts w:ascii="Times New Roman" w:hAnsi="Times New Roman" w:cs="Times New Roman"/>
      </w:rPr>
    </w:lvl>
    <w:lvl w:ilvl="2" w:tplc="0406001B">
      <w:start w:val="1"/>
      <w:numFmt w:val="lowerRoman"/>
      <w:lvlText w:val="%3."/>
      <w:lvlJc w:val="right"/>
      <w:pPr>
        <w:ind w:left="2160" w:hanging="180"/>
      </w:pPr>
      <w:rPr>
        <w:rFonts w:ascii="Times New Roman" w:hAnsi="Times New Roman" w:cs="Times New Roman"/>
      </w:rPr>
    </w:lvl>
    <w:lvl w:ilvl="3" w:tplc="0406000F">
      <w:start w:val="1"/>
      <w:numFmt w:val="decimal"/>
      <w:lvlText w:val="%4."/>
      <w:lvlJc w:val="left"/>
      <w:pPr>
        <w:ind w:left="2880" w:hanging="360"/>
      </w:pPr>
      <w:rPr>
        <w:rFonts w:ascii="Times New Roman" w:hAnsi="Times New Roman" w:cs="Times New Roman"/>
      </w:rPr>
    </w:lvl>
    <w:lvl w:ilvl="4" w:tplc="04060019">
      <w:start w:val="1"/>
      <w:numFmt w:val="lowerLetter"/>
      <w:lvlText w:val="%5."/>
      <w:lvlJc w:val="left"/>
      <w:pPr>
        <w:ind w:left="3600" w:hanging="360"/>
      </w:pPr>
      <w:rPr>
        <w:rFonts w:ascii="Times New Roman" w:hAnsi="Times New Roman" w:cs="Times New Roman"/>
      </w:rPr>
    </w:lvl>
    <w:lvl w:ilvl="5" w:tplc="0406001B">
      <w:start w:val="1"/>
      <w:numFmt w:val="lowerRoman"/>
      <w:lvlText w:val="%6."/>
      <w:lvlJc w:val="right"/>
      <w:pPr>
        <w:ind w:left="4320" w:hanging="180"/>
      </w:pPr>
      <w:rPr>
        <w:rFonts w:ascii="Times New Roman" w:hAnsi="Times New Roman" w:cs="Times New Roman"/>
      </w:rPr>
    </w:lvl>
    <w:lvl w:ilvl="6" w:tplc="0406000F">
      <w:start w:val="1"/>
      <w:numFmt w:val="decimal"/>
      <w:lvlText w:val="%7."/>
      <w:lvlJc w:val="left"/>
      <w:pPr>
        <w:ind w:left="5040" w:hanging="360"/>
      </w:pPr>
      <w:rPr>
        <w:rFonts w:ascii="Times New Roman" w:hAnsi="Times New Roman" w:cs="Times New Roman"/>
      </w:rPr>
    </w:lvl>
    <w:lvl w:ilvl="7" w:tplc="04060019">
      <w:start w:val="1"/>
      <w:numFmt w:val="lowerLetter"/>
      <w:lvlText w:val="%8."/>
      <w:lvlJc w:val="left"/>
      <w:pPr>
        <w:ind w:left="5760" w:hanging="360"/>
      </w:pPr>
      <w:rPr>
        <w:rFonts w:ascii="Times New Roman" w:hAnsi="Times New Roman" w:cs="Times New Roman"/>
      </w:rPr>
    </w:lvl>
    <w:lvl w:ilvl="8" w:tplc="0406001B">
      <w:start w:val="1"/>
      <w:numFmt w:val="lowerRoman"/>
      <w:lvlText w:val="%9."/>
      <w:lvlJc w:val="right"/>
      <w:pPr>
        <w:ind w:left="6480" w:hanging="180"/>
      </w:pPr>
      <w:rPr>
        <w:rFonts w:ascii="Times New Roman" w:hAnsi="Times New Roman" w:cs="Times New Roman"/>
      </w:rPr>
    </w:lvl>
  </w:abstractNum>
  <w:num w:numId="1" w16cid:durableId="885920039">
    <w:abstractNumId w:val="1"/>
  </w:num>
  <w:num w:numId="2" w16cid:durableId="129001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4D0"/>
    <w:rsid w:val="002C0DC7"/>
    <w:rsid w:val="002F74D0"/>
    <w:rsid w:val="006634DA"/>
    <w:rsid w:val="00B84BC4"/>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71F1"/>
  <w15:chartTrackingRefBased/>
  <w15:docId w15:val="{45AE0CB5-077B-4C1C-8497-57030547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D0"/>
    <w:pPr>
      <w:spacing w:line="259" w:lineRule="auto"/>
    </w:pPr>
    <w:rPr>
      <w:rFonts w:ascii="Calibri" w:eastAsiaTheme="minorEastAsia" w:hAnsi="Calibri" w:cs="Calibri"/>
      <w:kern w:val="0"/>
      <w:sz w:val="22"/>
      <w:szCs w:val="22"/>
      <w:lang w:val="da-DK"/>
      <w14:ligatures w14:val="none"/>
    </w:rPr>
  </w:style>
  <w:style w:type="paragraph" w:styleId="Overskrift1">
    <w:name w:val="heading 1"/>
    <w:basedOn w:val="Normal"/>
    <w:next w:val="Normal"/>
    <w:link w:val="Overskrift1Tegn"/>
    <w:uiPriority w:val="9"/>
    <w:qFormat/>
    <w:rsid w:val="002F7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F7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F74D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F74D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F74D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F74D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F74D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F74D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F74D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F74D0"/>
    <w:rPr>
      <w:rFonts w:asciiTheme="majorHAnsi" w:eastAsiaTheme="majorEastAsia" w:hAnsiTheme="majorHAnsi" w:cstheme="majorBidi"/>
      <w:color w:val="0F4761" w:themeColor="accent1" w:themeShade="BF"/>
      <w:sz w:val="40"/>
      <w:szCs w:val="40"/>
      <w:lang w:val="en-GB"/>
    </w:rPr>
  </w:style>
  <w:style w:type="character" w:customStyle="1" w:styleId="Overskrift2Tegn">
    <w:name w:val="Overskrift 2 Tegn"/>
    <w:basedOn w:val="Standardskrifttypeiafsnit"/>
    <w:link w:val="Overskrift2"/>
    <w:uiPriority w:val="9"/>
    <w:semiHidden/>
    <w:rsid w:val="002F74D0"/>
    <w:rPr>
      <w:rFonts w:asciiTheme="majorHAnsi" w:eastAsiaTheme="majorEastAsia" w:hAnsiTheme="majorHAnsi" w:cstheme="majorBidi"/>
      <w:color w:val="0F4761" w:themeColor="accent1" w:themeShade="BF"/>
      <w:sz w:val="32"/>
      <w:szCs w:val="32"/>
      <w:lang w:val="en-GB"/>
    </w:rPr>
  </w:style>
  <w:style w:type="character" w:customStyle="1" w:styleId="Overskrift3Tegn">
    <w:name w:val="Overskrift 3 Tegn"/>
    <w:basedOn w:val="Standardskrifttypeiafsnit"/>
    <w:link w:val="Overskrift3"/>
    <w:uiPriority w:val="9"/>
    <w:semiHidden/>
    <w:rsid w:val="002F74D0"/>
    <w:rPr>
      <w:rFonts w:eastAsiaTheme="majorEastAsia" w:cstheme="majorBidi"/>
      <w:color w:val="0F4761" w:themeColor="accent1" w:themeShade="BF"/>
      <w:sz w:val="28"/>
      <w:szCs w:val="28"/>
      <w:lang w:val="en-GB"/>
    </w:rPr>
  </w:style>
  <w:style w:type="character" w:customStyle="1" w:styleId="Overskrift4Tegn">
    <w:name w:val="Overskrift 4 Tegn"/>
    <w:basedOn w:val="Standardskrifttypeiafsnit"/>
    <w:link w:val="Overskrift4"/>
    <w:uiPriority w:val="9"/>
    <w:semiHidden/>
    <w:rsid w:val="002F74D0"/>
    <w:rPr>
      <w:rFonts w:eastAsiaTheme="majorEastAsia" w:cstheme="majorBidi"/>
      <w:i/>
      <w:iCs/>
      <w:color w:val="0F4761" w:themeColor="accent1" w:themeShade="BF"/>
      <w:lang w:val="en-GB"/>
    </w:rPr>
  </w:style>
  <w:style w:type="character" w:customStyle="1" w:styleId="Overskrift5Tegn">
    <w:name w:val="Overskrift 5 Tegn"/>
    <w:basedOn w:val="Standardskrifttypeiafsnit"/>
    <w:link w:val="Overskrift5"/>
    <w:uiPriority w:val="9"/>
    <w:semiHidden/>
    <w:rsid w:val="002F74D0"/>
    <w:rPr>
      <w:rFonts w:eastAsiaTheme="majorEastAsia" w:cstheme="majorBidi"/>
      <w:color w:val="0F4761" w:themeColor="accent1" w:themeShade="BF"/>
      <w:lang w:val="en-GB"/>
    </w:rPr>
  </w:style>
  <w:style w:type="character" w:customStyle="1" w:styleId="Overskrift6Tegn">
    <w:name w:val="Overskrift 6 Tegn"/>
    <w:basedOn w:val="Standardskrifttypeiafsnit"/>
    <w:link w:val="Overskrift6"/>
    <w:uiPriority w:val="9"/>
    <w:semiHidden/>
    <w:rsid w:val="002F74D0"/>
    <w:rPr>
      <w:rFonts w:eastAsiaTheme="majorEastAsia" w:cstheme="majorBidi"/>
      <w:i/>
      <w:iCs/>
      <w:color w:val="595959" w:themeColor="text1" w:themeTint="A6"/>
      <w:lang w:val="en-GB"/>
    </w:rPr>
  </w:style>
  <w:style w:type="character" w:customStyle="1" w:styleId="Overskrift7Tegn">
    <w:name w:val="Overskrift 7 Tegn"/>
    <w:basedOn w:val="Standardskrifttypeiafsnit"/>
    <w:link w:val="Overskrift7"/>
    <w:uiPriority w:val="9"/>
    <w:semiHidden/>
    <w:rsid w:val="002F74D0"/>
    <w:rPr>
      <w:rFonts w:eastAsiaTheme="majorEastAsia" w:cstheme="majorBidi"/>
      <w:color w:val="595959" w:themeColor="text1" w:themeTint="A6"/>
      <w:lang w:val="en-GB"/>
    </w:rPr>
  </w:style>
  <w:style w:type="character" w:customStyle="1" w:styleId="Overskrift8Tegn">
    <w:name w:val="Overskrift 8 Tegn"/>
    <w:basedOn w:val="Standardskrifttypeiafsnit"/>
    <w:link w:val="Overskrift8"/>
    <w:uiPriority w:val="9"/>
    <w:semiHidden/>
    <w:rsid w:val="002F74D0"/>
    <w:rPr>
      <w:rFonts w:eastAsiaTheme="majorEastAsia" w:cstheme="majorBidi"/>
      <w:i/>
      <w:iCs/>
      <w:color w:val="272727" w:themeColor="text1" w:themeTint="D8"/>
      <w:lang w:val="en-GB"/>
    </w:rPr>
  </w:style>
  <w:style w:type="character" w:customStyle="1" w:styleId="Overskrift9Tegn">
    <w:name w:val="Overskrift 9 Tegn"/>
    <w:basedOn w:val="Standardskrifttypeiafsnit"/>
    <w:link w:val="Overskrift9"/>
    <w:uiPriority w:val="9"/>
    <w:semiHidden/>
    <w:rsid w:val="002F74D0"/>
    <w:rPr>
      <w:rFonts w:eastAsiaTheme="majorEastAsia" w:cstheme="majorBidi"/>
      <w:color w:val="272727" w:themeColor="text1" w:themeTint="D8"/>
      <w:lang w:val="en-GB"/>
    </w:rPr>
  </w:style>
  <w:style w:type="paragraph" w:styleId="Titel">
    <w:name w:val="Title"/>
    <w:basedOn w:val="Normal"/>
    <w:next w:val="Normal"/>
    <w:link w:val="TitelTegn"/>
    <w:uiPriority w:val="10"/>
    <w:qFormat/>
    <w:rsid w:val="002F7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F74D0"/>
    <w:rPr>
      <w:rFonts w:asciiTheme="majorHAnsi" w:eastAsiaTheme="majorEastAsia" w:hAnsiTheme="majorHAnsi" w:cstheme="majorBidi"/>
      <w:spacing w:val="-10"/>
      <w:kern w:val="28"/>
      <w:sz w:val="56"/>
      <w:szCs w:val="56"/>
      <w:lang w:val="en-GB"/>
    </w:rPr>
  </w:style>
  <w:style w:type="paragraph" w:styleId="Undertitel">
    <w:name w:val="Subtitle"/>
    <w:basedOn w:val="Normal"/>
    <w:next w:val="Normal"/>
    <w:link w:val="UndertitelTegn"/>
    <w:uiPriority w:val="11"/>
    <w:qFormat/>
    <w:rsid w:val="002F74D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F74D0"/>
    <w:rPr>
      <w:rFonts w:eastAsiaTheme="majorEastAsia" w:cstheme="majorBidi"/>
      <w:color w:val="595959" w:themeColor="text1" w:themeTint="A6"/>
      <w:spacing w:val="15"/>
      <w:sz w:val="28"/>
      <w:szCs w:val="28"/>
      <w:lang w:val="en-GB"/>
    </w:rPr>
  </w:style>
  <w:style w:type="paragraph" w:styleId="Citat">
    <w:name w:val="Quote"/>
    <w:basedOn w:val="Normal"/>
    <w:next w:val="Normal"/>
    <w:link w:val="CitatTegn"/>
    <w:uiPriority w:val="29"/>
    <w:qFormat/>
    <w:rsid w:val="002F74D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F74D0"/>
    <w:rPr>
      <w:i/>
      <w:iCs/>
      <w:color w:val="404040" w:themeColor="text1" w:themeTint="BF"/>
      <w:lang w:val="en-GB"/>
    </w:rPr>
  </w:style>
  <w:style w:type="paragraph" w:styleId="Listeafsnit">
    <w:name w:val="List Paragraph"/>
    <w:basedOn w:val="Normal"/>
    <w:uiPriority w:val="99"/>
    <w:qFormat/>
    <w:rsid w:val="002F74D0"/>
    <w:pPr>
      <w:ind w:left="720"/>
      <w:contextualSpacing/>
    </w:pPr>
  </w:style>
  <w:style w:type="character" w:styleId="Kraftigfremhvning">
    <w:name w:val="Intense Emphasis"/>
    <w:basedOn w:val="Standardskrifttypeiafsnit"/>
    <w:uiPriority w:val="21"/>
    <w:qFormat/>
    <w:rsid w:val="002F74D0"/>
    <w:rPr>
      <w:i/>
      <w:iCs/>
      <w:color w:val="0F4761" w:themeColor="accent1" w:themeShade="BF"/>
    </w:rPr>
  </w:style>
  <w:style w:type="paragraph" w:styleId="Strktcitat">
    <w:name w:val="Intense Quote"/>
    <w:basedOn w:val="Normal"/>
    <w:next w:val="Normal"/>
    <w:link w:val="StrktcitatTegn"/>
    <w:uiPriority w:val="30"/>
    <w:qFormat/>
    <w:rsid w:val="002F7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F74D0"/>
    <w:rPr>
      <w:i/>
      <w:iCs/>
      <w:color w:val="0F4761" w:themeColor="accent1" w:themeShade="BF"/>
      <w:lang w:val="en-GB"/>
    </w:rPr>
  </w:style>
  <w:style w:type="character" w:styleId="Kraftighenvisning">
    <w:name w:val="Intense Reference"/>
    <w:basedOn w:val="Standardskrifttypeiafsnit"/>
    <w:uiPriority w:val="32"/>
    <w:qFormat/>
    <w:rsid w:val="002F74D0"/>
    <w:rPr>
      <w:b/>
      <w:bCs/>
      <w:smallCaps/>
      <w:color w:val="0F4761" w:themeColor="accent1" w:themeShade="BF"/>
      <w:spacing w:val="5"/>
    </w:rPr>
  </w:style>
  <w:style w:type="character" w:styleId="Hyperlink">
    <w:name w:val="Hyperlink"/>
    <w:basedOn w:val="Standardskrifttypeiafsnit"/>
    <w:uiPriority w:val="99"/>
    <w:rsid w:val="002F74D0"/>
    <w:rPr>
      <w:rFonts w:ascii="Times New Roman" w:hAnsi="Times New Roman" w:cs="Times New Roman"/>
      <w:color w:val="0563C1"/>
      <w:u w:val="single"/>
    </w:rPr>
  </w:style>
  <w:style w:type="paragraph" w:styleId="Sidehoved">
    <w:name w:val="header"/>
    <w:basedOn w:val="Normal"/>
    <w:link w:val="SidehovedTegn"/>
    <w:uiPriority w:val="99"/>
    <w:unhideWhenUsed/>
    <w:rsid w:val="002F74D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F74D0"/>
    <w:rPr>
      <w:rFonts w:ascii="Calibri" w:eastAsiaTheme="minorEastAsia" w:hAnsi="Calibri" w:cs="Calibri"/>
      <w:kern w:val="0"/>
      <w:sz w:val="22"/>
      <w:szCs w:val="22"/>
      <w:lang w:val="da-DK"/>
      <w14:ligatures w14:val="none"/>
    </w:rPr>
  </w:style>
  <w:style w:type="paragraph" w:styleId="Sidefod">
    <w:name w:val="footer"/>
    <w:basedOn w:val="Normal"/>
    <w:link w:val="SidefodTegn"/>
    <w:uiPriority w:val="99"/>
    <w:unhideWhenUsed/>
    <w:rsid w:val="002F74D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F74D0"/>
    <w:rPr>
      <w:rFonts w:ascii="Calibri" w:eastAsiaTheme="minorEastAsia" w:hAnsi="Calibri" w:cs="Calibri"/>
      <w:kern w:val="0"/>
      <w:sz w:val="22"/>
      <w:szCs w:val="22"/>
      <w:lang w:val="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ligion.dk/leksikon/D?pag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564</Words>
  <Characters>3217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1</cp:revision>
  <dcterms:created xsi:type="dcterms:W3CDTF">2025-09-15T10:07:00Z</dcterms:created>
  <dcterms:modified xsi:type="dcterms:W3CDTF">2025-09-15T10:15:00Z</dcterms:modified>
</cp:coreProperties>
</file>