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03C55" w14:textId="0B209F8A" w:rsidR="00E30720" w:rsidRDefault="00E30720" w:rsidP="00E30720">
      <w:pPr>
        <w:pStyle w:val="Listeafsnit"/>
        <w:numPr>
          <w:ilvl w:val="0"/>
          <w:numId w:val="1"/>
        </w:numPr>
      </w:pPr>
      <w:r>
        <w:t xml:space="preserve">Intro til aflevering 2. </w:t>
      </w:r>
    </w:p>
    <w:p w14:paraId="40E5C942" w14:textId="32F26C40" w:rsidR="00E30720" w:rsidRPr="00324C9D" w:rsidRDefault="00E30720" w:rsidP="00E30720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324C9D">
        <w:rPr>
          <w:rFonts w:ascii="Calibri" w:hAnsi="Calibri" w:cs="Calibri"/>
        </w:rPr>
        <w:t xml:space="preserve">Beregn konfidensintervaller på følgende meningsmåling om danskernes holdninger til </w:t>
      </w:r>
      <w:proofErr w:type="gramStart"/>
      <w:r w:rsidRPr="00324C9D">
        <w:rPr>
          <w:rFonts w:ascii="Calibri" w:hAnsi="Calibri" w:cs="Calibri"/>
        </w:rPr>
        <w:t>EU</w:t>
      </w:r>
      <w:r>
        <w:rPr>
          <w:rFonts w:ascii="Calibri" w:hAnsi="Calibri" w:cs="Calibri"/>
        </w:rPr>
        <w:t xml:space="preserve"> forbehold</w:t>
      </w:r>
      <w:proofErr w:type="gramEnd"/>
      <w:r w:rsidRPr="00324C9D">
        <w:rPr>
          <w:rFonts w:ascii="Calibri" w:hAnsi="Calibri" w:cs="Calibri"/>
        </w:rPr>
        <w:t xml:space="preserve">.  </w:t>
      </w:r>
      <w:hyperlink r:id="rId5" w:history="1">
        <w:r w:rsidRPr="00324C9D">
          <w:rPr>
            <w:rStyle w:val="Hyperlink"/>
            <w:rFonts w:ascii="Calibri" w:hAnsi="Calibri" w:cs="Calibri"/>
          </w:rPr>
          <w:t>https://thinkeuropa.d</w:t>
        </w:r>
        <w:r w:rsidRPr="00324C9D">
          <w:rPr>
            <w:rStyle w:val="Hyperlink"/>
            <w:rFonts w:ascii="Calibri" w:hAnsi="Calibri" w:cs="Calibri"/>
          </w:rPr>
          <w:t>k</w:t>
        </w:r>
        <w:r w:rsidRPr="00324C9D">
          <w:rPr>
            <w:rStyle w:val="Hyperlink"/>
            <w:rFonts w:ascii="Calibri" w:hAnsi="Calibri" w:cs="Calibri"/>
          </w:rPr>
          <w:t>/meningsmaaling/2025-04-ny-maaling-et-flertal-af-danskerne-vil-bevare-eu-forbeholdene</w:t>
        </w:r>
      </w:hyperlink>
    </w:p>
    <w:p w14:paraId="4A66B6E7" w14:textId="77777777" w:rsidR="00E30720" w:rsidRPr="00E361EB" w:rsidRDefault="00E30720" w:rsidP="00E30720">
      <w:pPr>
        <w:pStyle w:val="Listeafsnit"/>
        <w:rPr>
          <w:rFonts w:ascii="Calibri" w:hAnsi="Calibri" w:cs="Calibri"/>
        </w:rPr>
      </w:pPr>
      <w:r w:rsidRPr="00E361EB">
        <w:rPr>
          <w:rFonts w:ascii="Calibri" w:hAnsi="Calibri" w:cs="Calibri"/>
        </w:rPr>
        <w:t xml:space="preserve">Husk at fortolke tallene og anvend relevant faglig viden til at forklare tallene. Det kan fx være viden om formel og reel suverænitet, overstatsligt og mellemstatsligt samarbejde,  </w:t>
      </w:r>
    </w:p>
    <w:p w14:paraId="61839229" w14:textId="48DED39A" w:rsidR="00E30720" w:rsidRPr="00E361EB" w:rsidRDefault="00E30720" w:rsidP="00E30720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E361EB">
        <w:rPr>
          <w:rFonts w:ascii="Calibri" w:hAnsi="Calibri" w:cs="Calibri"/>
        </w:rPr>
        <w:t xml:space="preserve">Beregn konfidensintervaller på figur 2 fra 2018 og fortolk dernæst tallene. Hvordan kan tallene forklares, når samme undersøgelse og senere undersøgelser peger på massiv dansk opbakning til medlemskab. </w:t>
      </w:r>
      <w:r>
        <w:rPr>
          <w:rFonts w:ascii="Calibri" w:hAnsi="Calibri" w:cs="Calibri"/>
        </w:rPr>
        <w:t>(Undersøgelse fra 2024 viser at 88% af danskerne mener EU er en fordel for DK, hvilket placerer danskerne som nogle af de mest EU-positive sammen med Irland og Luxembourg)</w:t>
      </w:r>
    </w:p>
    <w:p w14:paraId="0F8B0B5C" w14:textId="77777777" w:rsidR="00E30720" w:rsidRDefault="00E30720" w:rsidP="00E30720">
      <w:pPr>
        <w:pStyle w:val="Listeafsnit"/>
      </w:pPr>
      <w:r>
        <w:rPr>
          <w:noProof/>
        </w:rPr>
        <w:drawing>
          <wp:inline distT="0" distB="0" distL="0" distR="0" wp14:anchorId="1A161EA8" wp14:editId="2768A07A">
            <wp:extent cx="6120130" cy="3585845"/>
            <wp:effectExtent l="0" t="0" r="1270" b="0"/>
            <wp:docPr id="12572765" name="Billede 1" descr="Et billede, der indeholder tekst, skærmbillede, nummer/tal, Paralle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2765" name="Billede 1" descr="Et billede, der indeholder tekst, skærmbillede, nummer/tal, Parallel&#10;&#10;AI-genereret indhold kan være ukorrek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8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F8171" w14:textId="77777777" w:rsidR="00E30720" w:rsidRPr="00E361EB" w:rsidRDefault="00E30720" w:rsidP="00E30720">
      <w:pPr>
        <w:pStyle w:val="Listeafsnit"/>
        <w:numPr>
          <w:ilvl w:val="0"/>
          <w:numId w:val="1"/>
        </w:numPr>
        <w:spacing w:after="160" w:line="259" w:lineRule="auto"/>
        <w:rPr>
          <w:rFonts w:ascii="Calibri" w:hAnsi="Calibri" w:cs="Calibri"/>
          <w:b/>
        </w:rPr>
      </w:pPr>
      <w:r w:rsidRPr="00E361EB">
        <w:rPr>
          <w:rFonts w:ascii="Calibri" w:hAnsi="Calibri" w:cs="Calibri"/>
          <w:b/>
        </w:rPr>
        <w:t>Faglig ’Tegn og Gæt’</w:t>
      </w:r>
    </w:p>
    <w:p w14:paraId="7355AEA7" w14:textId="77777777" w:rsidR="00E30720" w:rsidRPr="00E361EB" w:rsidRDefault="00E30720" w:rsidP="00E30720">
      <w:pPr>
        <w:pStyle w:val="Listeafsnit"/>
        <w:numPr>
          <w:ilvl w:val="1"/>
          <w:numId w:val="1"/>
        </w:numPr>
        <w:spacing w:after="160" w:line="259" w:lineRule="auto"/>
        <w:rPr>
          <w:rFonts w:ascii="Calibri" w:hAnsi="Calibri" w:cs="Calibri"/>
          <w:b/>
        </w:rPr>
      </w:pPr>
      <w:r w:rsidRPr="00E361EB">
        <w:rPr>
          <w:rFonts w:ascii="Calibri" w:hAnsi="Calibri" w:cs="Calibri"/>
        </w:rPr>
        <w:t xml:space="preserve">I skiftes til at tegne et begreb fra forløbet indtil videre </w:t>
      </w:r>
    </w:p>
    <w:p w14:paraId="391A3E5F" w14:textId="77777777" w:rsidR="00E30720" w:rsidRPr="00E361EB" w:rsidRDefault="00E30720" w:rsidP="00E30720">
      <w:pPr>
        <w:pStyle w:val="Listeafsnit"/>
        <w:numPr>
          <w:ilvl w:val="1"/>
          <w:numId w:val="1"/>
        </w:numPr>
        <w:spacing w:after="160" w:line="259" w:lineRule="auto"/>
        <w:rPr>
          <w:rFonts w:ascii="Calibri" w:hAnsi="Calibri" w:cs="Calibri"/>
          <w:b/>
        </w:rPr>
      </w:pPr>
      <w:r w:rsidRPr="00E361EB">
        <w:rPr>
          <w:rFonts w:ascii="Calibri" w:hAnsi="Calibri" w:cs="Calibri"/>
        </w:rPr>
        <w:t>Når man har et gæt, så råber man. Hvis der gættes forkert, så tegner man videre, hvis der gættes korrekt, så stopper personen med at tegne.</w:t>
      </w:r>
    </w:p>
    <w:p w14:paraId="3ED7862C" w14:textId="77777777" w:rsidR="00E30720" w:rsidRPr="00E361EB" w:rsidRDefault="00E30720" w:rsidP="00E30720">
      <w:pPr>
        <w:pStyle w:val="Listeafsnit"/>
        <w:numPr>
          <w:ilvl w:val="1"/>
          <w:numId w:val="1"/>
        </w:numPr>
        <w:spacing w:after="160" w:line="259" w:lineRule="auto"/>
        <w:rPr>
          <w:rFonts w:ascii="Calibri" w:hAnsi="Calibri" w:cs="Calibri"/>
          <w:b/>
        </w:rPr>
      </w:pPr>
      <w:r w:rsidRPr="00E361EB">
        <w:rPr>
          <w:rFonts w:ascii="Calibri" w:hAnsi="Calibri" w:cs="Calibri"/>
        </w:rPr>
        <w:t>I vurderer selv hvilket pointsystem, I vil køre efter;</w:t>
      </w:r>
    </w:p>
    <w:p w14:paraId="6D4320A5" w14:textId="77777777" w:rsidR="00E30720" w:rsidRPr="00E361EB" w:rsidRDefault="00E30720" w:rsidP="00E30720">
      <w:pPr>
        <w:pStyle w:val="Listeafsnit"/>
        <w:numPr>
          <w:ilvl w:val="2"/>
          <w:numId w:val="1"/>
        </w:numPr>
        <w:spacing w:after="200" w:line="259" w:lineRule="auto"/>
        <w:rPr>
          <w:rFonts w:ascii="Calibri" w:hAnsi="Calibri" w:cs="Calibri"/>
        </w:rPr>
      </w:pPr>
      <w:r w:rsidRPr="00E361EB">
        <w:rPr>
          <w:rFonts w:ascii="Calibri" w:hAnsi="Calibri" w:cs="Calibri"/>
        </w:rPr>
        <w:t>Den der gætter rigtigt: 1 point</w:t>
      </w:r>
    </w:p>
    <w:p w14:paraId="434851E7" w14:textId="77777777" w:rsidR="00E30720" w:rsidRPr="00E361EB" w:rsidRDefault="00E30720" w:rsidP="00E30720">
      <w:pPr>
        <w:pStyle w:val="Listeafsnit"/>
        <w:numPr>
          <w:ilvl w:val="2"/>
          <w:numId w:val="1"/>
        </w:numPr>
        <w:spacing w:after="200" w:line="259" w:lineRule="auto"/>
        <w:rPr>
          <w:rFonts w:ascii="Calibri" w:hAnsi="Calibri" w:cs="Calibri"/>
        </w:rPr>
      </w:pPr>
      <w:r w:rsidRPr="00E361EB">
        <w:rPr>
          <w:rFonts w:ascii="Calibri" w:hAnsi="Calibri" w:cs="Calibri"/>
        </w:rPr>
        <w:t>Den der gætter rigtigt: 2 point, og den der tegnede så flot at én af de andre kunne gætte det: 1 point</w:t>
      </w:r>
    </w:p>
    <w:p w14:paraId="487ADD6A" w14:textId="77777777" w:rsidR="00E30720" w:rsidRPr="00E361EB" w:rsidRDefault="00E30720" w:rsidP="00E30720">
      <w:pPr>
        <w:pStyle w:val="Listeafsnit"/>
        <w:numPr>
          <w:ilvl w:val="2"/>
          <w:numId w:val="1"/>
        </w:numPr>
        <w:spacing w:after="200" w:line="259" w:lineRule="auto"/>
        <w:rPr>
          <w:rFonts w:ascii="Calibri" w:hAnsi="Calibri" w:cs="Calibri"/>
        </w:rPr>
      </w:pPr>
      <w:r w:rsidRPr="00E361EB">
        <w:rPr>
          <w:rFonts w:ascii="Calibri" w:hAnsi="Calibri" w:cs="Calibri"/>
        </w:rPr>
        <w:t>Den der gætter rigtigt 1 point, og den der tegnede så flot at én af de andre kunne gætte det: 2. point</w:t>
      </w:r>
    </w:p>
    <w:p w14:paraId="2C8D04D3" w14:textId="77777777" w:rsidR="00E30720" w:rsidRPr="00E361EB" w:rsidRDefault="00E30720" w:rsidP="00E30720">
      <w:pPr>
        <w:pStyle w:val="Listeafsnit"/>
        <w:numPr>
          <w:ilvl w:val="2"/>
          <w:numId w:val="1"/>
        </w:numPr>
        <w:spacing w:after="160" w:line="259" w:lineRule="auto"/>
        <w:rPr>
          <w:rStyle w:val="Kraftigfremhvning"/>
          <w:rFonts w:ascii="Calibri" w:hAnsi="Calibri" w:cs="Calibri"/>
          <w:b/>
          <w:bCs/>
          <w:i w:val="0"/>
          <w:iCs w:val="0"/>
          <w:color w:val="auto"/>
        </w:rPr>
      </w:pPr>
      <w:r w:rsidRPr="00E361EB">
        <w:rPr>
          <w:rFonts w:ascii="Calibri" w:hAnsi="Calibri" w:cs="Calibri"/>
        </w:rPr>
        <w:t>Ingen pointtælling</w:t>
      </w:r>
    </w:p>
    <w:p w14:paraId="38FED9E9" w14:textId="77777777" w:rsidR="00E30720" w:rsidRPr="00E361EB" w:rsidRDefault="00E30720" w:rsidP="00E30720">
      <w:pPr>
        <w:pStyle w:val="Listeafsnit"/>
        <w:rPr>
          <w:rFonts w:ascii="Calibri" w:hAnsi="Calibri" w:cs="Calibri"/>
          <w:b/>
        </w:rPr>
      </w:pPr>
    </w:p>
    <w:p w14:paraId="23FA8F85" w14:textId="77777777" w:rsidR="00E30720" w:rsidRPr="008B2197" w:rsidRDefault="00E30720" w:rsidP="00E30720">
      <w:pPr>
        <w:pStyle w:val="Listeafsnit"/>
        <w:numPr>
          <w:ilvl w:val="0"/>
          <w:numId w:val="1"/>
        </w:numPr>
        <w:spacing w:after="160" w:line="259" w:lineRule="auto"/>
        <w:rPr>
          <w:rStyle w:val="Kraftigfremhvning"/>
          <w:rFonts w:ascii="Calibri" w:hAnsi="Calibri" w:cs="Calibri"/>
          <w:b/>
          <w:bCs/>
          <w:i w:val="0"/>
          <w:iCs w:val="0"/>
        </w:rPr>
      </w:pPr>
      <w:r w:rsidRPr="008B2197">
        <w:rPr>
          <w:rStyle w:val="Kraftigfremhvning"/>
          <w:rFonts w:ascii="Calibri" w:hAnsi="Calibri" w:cs="Calibri"/>
          <w:b/>
          <w:bCs/>
        </w:rPr>
        <w:t xml:space="preserve">I skal nu </w:t>
      </w:r>
      <w:r>
        <w:rPr>
          <w:rStyle w:val="Kraftigfremhvning"/>
          <w:rFonts w:ascii="Calibri" w:hAnsi="Calibri" w:cs="Calibri"/>
          <w:b/>
          <w:bCs/>
          <w:i w:val="0"/>
          <w:iCs w:val="0"/>
        </w:rPr>
        <w:t xml:space="preserve">i par </w:t>
      </w:r>
      <w:r w:rsidRPr="008B2197">
        <w:rPr>
          <w:rStyle w:val="Kraftigfremhvning"/>
          <w:rFonts w:ascii="Calibri" w:hAnsi="Calibri" w:cs="Calibri"/>
          <w:b/>
          <w:bCs/>
        </w:rPr>
        <w:t>arbejde hver jeres integrationsteori. I skal forberede en præsentation af jeres integrationsteori, der fremlægges i næste lektion.</w:t>
      </w:r>
    </w:p>
    <w:p w14:paraId="5E60ACEB" w14:textId="77777777" w:rsidR="00E30720" w:rsidRPr="00D12CFE" w:rsidRDefault="00E30720" w:rsidP="00E30720">
      <w:pPr>
        <w:pStyle w:val="Listeafsnit"/>
        <w:ind w:left="1440"/>
        <w:rPr>
          <w:rStyle w:val="Kraftigfremhvning"/>
          <w:i w:val="0"/>
          <w:iCs w:val="0"/>
        </w:rPr>
      </w:pPr>
    </w:p>
    <w:p w14:paraId="3DD697C7" w14:textId="77777777" w:rsidR="00E30720" w:rsidRPr="008B2197" w:rsidRDefault="00E30720" w:rsidP="00E30720">
      <w:pPr>
        <w:pStyle w:val="Listeafsnit"/>
        <w:numPr>
          <w:ilvl w:val="1"/>
          <w:numId w:val="1"/>
        </w:numPr>
        <w:spacing w:after="160" w:line="259" w:lineRule="auto"/>
        <w:rPr>
          <w:rStyle w:val="Kraftigfremhvning"/>
          <w:rFonts w:ascii="Calibri" w:hAnsi="Calibri" w:cs="Calibri"/>
          <w:i w:val="0"/>
          <w:iCs w:val="0"/>
        </w:rPr>
      </w:pPr>
      <w:r w:rsidRPr="008B2197">
        <w:rPr>
          <w:rStyle w:val="Kraftigfremhvning"/>
          <w:rFonts w:ascii="Calibri" w:hAnsi="Calibri" w:cs="Calibri"/>
        </w:rPr>
        <w:t>Materiale:</w:t>
      </w:r>
    </w:p>
    <w:p w14:paraId="6C89700D" w14:textId="77777777" w:rsidR="00E30720" w:rsidRPr="008B2197" w:rsidRDefault="00E30720" w:rsidP="00E30720">
      <w:pPr>
        <w:pStyle w:val="Listeafsnit"/>
        <w:numPr>
          <w:ilvl w:val="2"/>
          <w:numId w:val="1"/>
        </w:numPr>
        <w:spacing w:after="160" w:line="259" w:lineRule="auto"/>
        <w:rPr>
          <w:rFonts w:ascii="Calibri" w:hAnsi="Calibri" w:cs="Calibri"/>
          <w:b/>
          <w:bCs/>
        </w:rPr>
      </w:pPr>
      <w:r w:rsidRPr="008B2197">
        <w:rPr>
          <w:rFonts w:ascii="Calibri" w:hAnsi="Calibri" w:cs="Calibri"/>
        </w:rPr>
        <w:t xml:space="preserve">Føderalisme s. 73-76 fra EU’s udfordringer – En </w:t>
      </w:r>
      <w:proofErr w:type="spellStart"/>
      <w:r w:rsidRPr="008B2197">
        <w:rPr>
          <w:rFonts w:ascii="Calibri" w:hAnsi="Calibri" w:cs="Calibri"/>
        </w:rPr>
        <w:t>casebaseret</w:t>
      </w:r>
      <w:proofErr w:type="spellEnd"/>
      <w:r w:rsidRPr="008B2197">
        <w:rPr>
          <w:rFonts w:ascii="Calibri" w:hAnsi="Calibri" w:cs="Calibri"/>
        </w:rPr>
        <w:t xml:space="preserve"> grundbog om EU</w:t>
      </w:r>
    </w:p>
    <w:p w14:paraId="6F9C9CDA" w14:textId="77777777" w:rsidR="00E30720" w:rsidRPr="008B2197" w:rsidRDefault="00E30720" w:rsidP="00E30720">
      <w:pPr>
        <w:pStyle w:val="Listeafsnit"/>
        <w:numPr>
          <w:ilvl w:val="2"/>
          <w:numId w:val="1"/>
        </w:numPr>
        <w:spacing w:after="160" w:line="259" w:lineRule="auto"/>
        <w:rPr>
          <w:rFonts w:ascii="Calibri" w:hAnsi="Calibri" w:cs="Calibri"/>
          <w:b/>
          <w:bCs/>
        </w:rPr>
      </w:pPr>
      <w:r w:rsidRPr="008B2197">
        <w:rPr>
          <w:rFonts w:ascii="Calibri" w:hAnsi="Calibri" w:cs="Calibri"/>
        </w:rPr>
        <w:t xml:space="preserve">Neofunktionalisme s. 77-78 fra EU’s udfordringer – En </w:t>
      </w:r>
      <w:proofErr w:type="spellStart"/>
      <w:r w:rsidRPr="008B2197">
        <w:rPr>
          <w:rFonts w:ascii="Calibri" w:hAnsi="Calibri" w:cs="Calibri"/>
        </w:rPr>
        <w:t>casebaseret</w:t>
      </w:r>
      <w:proofErr w:type="spellEnd"/>
      <w:r w:rsidRPr="008B2197">
        <w:rPr>
          <w:rFonts w:ascii="Calibri" w:hAnsi="Calibri" w:cs="Calibri"/>
        </w:rPr>
        <w:t xml:space="preserve"> grundbog om EU</w:t>
      </w:r>
    </w:p>
    <w:p w14:paraId="663A5A3E" w14:textId="77777777" w:rsidR="00E30720" w:rsidRPr="008B2197" w:rsidRDefault="00E30720" w:rsidP="00E30720">
      <w:pPr>
        <w:pStyle w:val="Listeafsnit"/>
        <w:numPr>
          <w:ilvl w:val="2"/>
          <w:numId w:val="1"/>
        </w:numPr>
        <w:spacing w:after="160" w:line="259" w:lineRule="auto"/>
        <w:rPr>
          <w:rFonts w:ascii="Calibri" w:hAnsi="Calibri" w:cs="Calibri"/>
          <w:b/>
          <w:bCs/>
        </w:rPr>
      </w:pPr>
      <w:r w:rsidRPr="008B2197">
        <w:rPr>
          <w:rFonts w:ascii="Calibri" w:hAnsi="Calibri" w:cs="Calibri"/>
        </w:rPr>
        <w:t xml:space="preserve">Liberal intergovernmentalisme s. 80-82 fra EU’s udfordringer – En </w:t>
      </w:r>
      <w:proofErr w:type="spellStart"/>
      <w:r w:rsidRPr="008B2197">
        <w:rPr>
          <w:rFonts w:ascii="Calibri" w:hAnsi="Calibri" w:cs="Calibri"/>
        </w:rPr>
        <w:t>casebaseret</w:t>
      </w:r>
      <w:proofErr w:type="spellEnd"/>
      <w:r w:rsidRPr="008B2197">
        <w:rPr>
          <w:rFonts w:ascii="Calibri" w:hAnsi="Calibri" w:cs="Calibri"/>
        </w:rPr>
        <w:t xml:space="preserve"> grundbog om EU</w:t>
      </w:r>
    </w:p>
    <w:p w14:paraId="67A4F0E3" w14:textId="77777777" w:rsidR="00E30720" w:rsidRPr="008B2197" w:rsidRDefault="00E30720" w:rsidP="00E30720">
      <w:pPr>
        <w:pStyle w:val="Listeafsnit"/>
        <w:numPr>
          <w:ilvl w:val="2"/>
          <w:numId w:val="1"/>
        </w:numPr>
        <w:spacing w:after="160" w:line="259" w:lineRule="auto"/>
        <w:rPr>
          <w:rFonts w:ascii="Calibri" w:hAnsi="Calibri" w:cs="Calibri"/>
          <w:b/>
          <w:bCs/>
        </w:rPr>
      </w:pPr>
      <w:proofErr w:type="spellStart"/>
      <w:r w:rsidRPr="008B2197">
        <w:rPr>
          <w:rFonts w:ascii="Calibri" w:hAnsi="Calibri" w:cs="Calibri"/>
        </w:rPr>
        <w:t>Multi-level-governance</w:t>
      </w:r>
      <w:proofErr w:type="spellEnd"/>
      <w:r w:rsidRPr="008B2197">
        <w:rPr>
          <w:rFonts w:ascii="Calibri" w:hAnsi="Calibri" w:cs="Calibri"/>
        </w:rPr>
        <w:t xml:space="preserve"> s. 84-85 fra EU’s udfordringer – En </w:t>
      </w:r>
      <w:proofErr w:type="spellStart"/>
      <w:r w:rsidRPr="008B2197">
        <w:rPr>
          <w:rFonts w:ascii="Calibri" w:hAnsi="Calibri" w:cs="Calibri"/>
        </w:rPr>
        <w:t>casebaseret</w:t>
      </w:r>
      <w:proofErr w:type="spellEnd"/>
      <w:r w:rsidRPr="008B2197">
        <w:rPr>
          <w:rFonts w:ascii="Calibri" w:hAnsi="Calibri" w:cs="Calibri"/>
        </w:rPr>
        <w:t xml:space="preserve"> grundbog om EU</w:t>
      </w:r>
    </w:p>
    <w:p w14:paraId="3DBA11AD" w14:textId="77777777" w:rsidR="00E30720" w:rsidRPr="008B2197" w:rsidRDefault="00E30720" w:rsidP="00E30720">
      <w:pPr>
        <w:pStyle w:val="Listeafsnit"/>
        <w:numPr>
          <w:ilvl w:val="2"/>
          <w:numId w:val="1"/>
        </w:numPr>
        <w:spacing w:after="160" w:line="259" w:lineRule="auto"/>
        <w:rPr>
          <w:rFonts w:ascii="Calibri" w:hAnsi="Calibri" w:cs="Calibri"/>
          <w:b/>
          <w:bCs/>
        </w:rPr>
      </w:pPr>
      <w:r w:rsidRPr="008B2197">
        <w:rPr>
          <w:rFonts w:ascii="Calibri" w:hAnsi="Calibri" w:cs="Calibri"/>
        </w:rPr>
        <w:t>Transaktionsanalysen s. 162-163 fra ’Det politiske Europa 3. udgave</w:t>
      </w:r>
    </w:p>
    <w:p w14:paraId="2644F231" w14:textId="77777777" w:rsidR="00E30720" w:rsidRPr="008B2197" w:rsidRDefault="00E30720" w:rsidP="00E30720">
      <w:pPr>
        <w:pStyle w:val="Listeafsnit"/>
        <w:ind w:left="2160"/>
        <w:rPr>
          <w:rFonts w:ascii="Calibri" w:hAnsi="Calibri" w:cs="Calibri"/>
          <w:b/>
          <w:bCs/>
        </w:rPr>
      </w:pPr>
    </w:p>
    <w:p w14:paraId="3E0BFB32" w14:textId="77777777" w:rsidR="00E30720" w:rsidRPr="008B2197" w:rsidRDefault="00E30720" w:rsidP="00E30720">
      <w:pPr>
        <w:pStyle w:val="Listeafsnit"/>
        <w:numPr>
          <w:ilvl w:val="1"/>
          <w:numId w:val="1"/>
        </w:numPr>
        <w:spacing w:after="160" w:line="259" w:lineRule="auto"/>
        <w:rPr>
          <w:rFonts w:ascii="Calibri" w:hAnsi="Calibri" w:cs="Calibri"/>
          <w:b/>
          <w:bCs/>
        </w:rPr>
      </w:pPr>
      <w:r w:rsidRPr="008B2197">
        <w:rPr>
          <w:rFonts w:ascii="Calibri" w:hAnsi="Calibri" w:cs="Calibri"/>
        </w:rPr>
        <w:t>Præsentationerne skal indeholde følgende:</w:t>
      </w:r>
    </w:p>
    <w:p w14:paraId="6CB08C3F" w14:textId="77777777" w:rsidR="00E30720" w:rsidRPr="008B2197" w:rsidRDefault="00E30720" w:rsidP="00E30720">
      <w:pPr>
        <w:pStyle w:val="Listeafsnit"/>
        <w:numPr>
          <w:ilvl w:val="2"/>
          <w:numId w:val="1"/>
        </w:numPr>
        <w:spacing w:after="160" w:line="259" w:lineRule="auto"/>
        <w:rPr>
          <w:rStyle w:val="Hyperlink"/>
          <w:rFonts w:ascii="Calibri" w:hAnsi="Calibri" w:cs="Calibri"/>
          <w:b/>
          <w:bCs/>
          <w:color w:val="auto"/>
          <w:u w:val="none"/>
        </w:rPr>
      </w:pPr>
      <w:r w:rsidRPr="008B2197">
        <w:rPr>
          <w:rStyle w:val="Hyperlink"/>
          <w:rFonts w:ascii="Calibri" w:hAnsi="Calibri" w:cs="Calibri"/>
          <w:color w:val="auto"/>
          <w:u w:val="none"/>
        </w:rPr>
        <w:t>En præsentation af hvem/hvordan/hvorfor man samarbejder i flg. Teorien</w:t>
      </w:r>
    </w:p>
    <w:p w14:paraId="4C0139FB" w14:textId="77777777" w:rsidR="00E30720" w:rsidRPr="008B2197" w:rsidRDefault="00E30720" w:rsidP="00E30720">
      <w:pPr>
        <w:pStyle w:val="Listeafsnit"/>
        <w:numPr>
          <w:ilvl w:val="2"/>
          <w:numId w:val="1"/>
        </w:numPr>
        <w:spacing w:after="160" w:line="259" w:lineRule="auto"/>
        <w:rPr>
          <w:rStyle w:val="Hyperlink"/>
          <w:rFonts w:ascii="Calibri" w:hAnsi="Calibri" w:cs="Calibri"/>
          <w:b/>
          <w:bCs/>
          <w:color w:val="auto"/>
          <w:u w:val="none"/>
        </w:rPr>
      </w:pPr>
      <w:r w:rsidRPr="008B2197">
        <w:rPr>
          <w:rStyle w:val="Hyperlink"/>
          <w:rFonts w:ascii="Calibri" w:hAnsi="Calibri" w:cs="Calibri"/>
          <w:color w:val="auto"/>
          <w:u w:val="none"/>
        </w:rPr>
        <w:t xml:space="preserve">En præsentation af konkrete tidspunkter i EU’s historie som teorien kan forklare (inkl. En forklaring af hvorfor disse nedslag er relevante for teorien) </w:t>
      </w:r>
    </w:p>
    <w:p w14:paraId="661A3E01" w14:textId="77777777" w:rsidR="00E30720" w:rsidRPr="00D31397" w:rsidRDefault="00E30720" w:rsidP="00E30720">
      <w:pPr>
        <w:pStyle w:val="Listeafsnit"/>
        <w:numPr>
          <w:ilvl w:val="3"/>
          <w:numId w:val="1"/>
        </w:numPr>
        <w:spacing w:after="160" w:line="259" w:lineRule="auto"/>
        <w:rPr>
          <w:rStyle w:val="Hyperlink"/>
          <w:rFonts w:ascii="Calibri" w:hAnsi="Calibri" w:cs="Calibri"/>
          <w:b/>
          <w:bCs/>
          <w:color w:val="auto"/>
          <w:u w:val="none"/>
        </w:rPr>
      </w:pPr>
      <w:r w:rsidRPr="008B2197">
        <w:rPr>
          <w:rStyle w:val="Hyperlink"/>
          <w:rFonts w:ascii="Calibri" w:hAnsi="Calibri" w:cs="Calibri"/>
          <w:color w:val="auto"/>
          <w:u w:val="none"/>
        </w:rPr>
        <w:t>Se figuren på næste si</w:t>
      </w:r>
      <w:r>
        <w:rPr>
          <w:rStyle w:val="Hyperlink"/>
          <w:rFonts w:ascii="Calibri" w:hAnsi="Calibri" w:cs="Calibri"/>
          <w:color w:val="auto"/>
          <w:u w:val="none"/>
        </w:rPr>
        <w:t>d</w:t>
      </w:r>
      <w:r w:rsidRPr="008B2197">
        <w:rPr>
          <w:rStyle w:val="Hyperlink"/>
          <w:rFonts w:ascii="Calibri" w:hAnsi="Calibri" w:cs="Calibri"/>
          <w:color w:val="auto"/>
          <w:u w:val="none"/>
        </w:rPr>
        <w:t xml:space="preserve">e el. </w:t>
      </w:r>
      <w:hyperlink r:id="rId7" w:history="1">
        <w:r w:rsidRPr="008B2197">
          <w:rPr>
            <w:rStyle w:val="Hyperlink"/>
            <w:rFonts w:ascii="Calibri" w:hAnsi="Calibri" w:cs="Calibri"/>
            <w:color w:val="auto"/>
          </w:rPr>
          <w:t>http://tidslinjer.dk/undervisning/den-europaeiske-unions-historie/</w:t>
        </w:r>
      </w:hyperlink>
    </w:p>
    <w:p w14:paraId="17C994D1" w14:textId="77777777" w:rsidR="00E30720" w:rsidRPr="008B2197" w:rsidRDefault="00E30720" w:rsidP="00E30720">
      <w:pPr>
        <w:pStyle w:val="Listeafsnit"/>
        <w:numPr>
          <w:ilvl w:val="2"/>
          <w:numId w:val="1"/>
        </w:numPr>
        <w:spacing w:after="160" w:line="259" w:lineRule="auto"/>
        <w:rPr>
          <w:rStyle w:val="Hyperlink"/>
          <w:rFonts w:ascii="Calibri" w:hAnsi="Calibri" w:cs="Calibri"/>
          <w:b/>
          <w:bCs/>
          <w:color w:val="auto"/>
          <w:u w:val="none"/>
        </w:rPr>
      </w:pPr>
      <w:r w:rsidRPr="008B2197">
        <w:rPr>
          <w:rStyle w:val="Hyperlink"/>
          <w:rFonts w:ascii="Calibri" w:hAnsi="Calibri" w:cs="Calibri"/>
          <w:color w:val="auto"/>
          <w:u w:val="none"/>
        </w:rPr>
        <w:t>Et billede der kan symbolisere samarbejdet i EU i flg. Teorien</w:t>
      </w:r>
    </w:p>
    <w:p w14:paraId="2B5ED158" w14:textId="77777777" w:rsidR="00E30720" w:rsidRPr="008B2197" w:rsidRDefault="00E30720" w:rsidP="00E30720">
      <w:pPr>
        <w:pStyle w:val="Listeafsnit"/>
        <w:numPr>
          <w:ilvl w:val="2"/>
          <w:numId w:val="1"/>
        </w:numPr>
        <w:spacing w:after="160" w:line="259" w:lineRule="auto"/>
        <w:rPr>
          <w:rStyle w:val="Hyperlink"/>
          <w:rFonts w:ascii="Calibri" w:hAnsi="Calibri" w:cs="Calibri"/>
          <w:b/>
          <w:bCs/>
        </w:rPr>
      </w:pPr>
      <w:r w:rsidRPr="008B2197">
        <w:rPr>
          <w:rStyle w:val="Hyperlink"/>
          <w:rFonts w:ascii="Calibri" w:hAnsi="Calibri" w:cs="Calibri"/>
        </w:rPr>
        <w:t>En kort tale hvor en politiker udtaler sig om, hvordan der skal samarbejdes i EU med udgangspunkt i teorien</w:t>
      </w:r>
    </w:p>
    <w:p w14:paraId="6F91F861" w14:textId="77777777" w:rsidR="00E30720" w:rsidRPr="008B2197" w:rsidRDefault="00E30720" w:rsidP="00E30720">
      <w:pPr>
        <w:rPr>
          <w:rStyle w:val="Hyperlink"/>
          <w:rFonts w:ascii="Calibri" w:hAnsi="Calibri" w:cs="Calibri"/>
          <w:b/>
          <w:bCs/>
        </w:rPr>
      </w:pPr>
      <w:r w:rsidRPr="008B2197">
        <w:rPr>
          <w:rStyle w:val="Hyperlink"/>
          <w:rFonts w:ascii="Calibri" w:hAnsi="Calibri" w:cs="Calibri"/>
          <w:b/>
          <w:bCs/>
        </w:rPr>
        <w:t>Bilag A:</w:t>
      </w:r>
    </w:p>
    <w:p w14:paraId="4DF29228" w14:textId="77777777" w:rsidR="00E30720" w:rsidRPr="00401666" w:rsidRDefault="00E30720" w:rsidP="00E30720">
      <w:pPr>
        <w:rPr>
          <w:rStyle w:val="Hyperlink"/>
          <w:b/>
          <w:bCs/>
        </w:rPr>
      </w:pPr>
      <w:r>
        <w:rPr>
          <w:b/>
          <w:noProof/>
          <w:lang w:eastAsia="da-DK"/>
        </w:rPr>
        <w:drawing>
          <wp:anchor distT="0" distB="0" distL="114300" distR="114300" simplePos="0" relativeHeight="251659264" behindDoc="1" locked="0" layoutInCell="1" allowOverlap="1" wp14:anchorId="4BF07501" wp14:editId="62C594E8">
            <wp:simplePos x="0" y="0"/>
            <wp:positionH relativeFrom="page">
              <wp:align>left</wp:align>
            </wp:positionH>
            <wp:positionV relativeFrom="paragraph">
              <wp:posOffset>161290</wp:posOffset>
            </wp:positionV>
            <wp:extent cx="7630160" cy="3619500"/>
            <wp:effectExtent l="0" t="0" r="8890" b="0"/>
            <wp:wrapTight wrapText="bothSides">
              <wp:wrapPolygon edited="0">
                <wp:start x="0" y="0"/>
                <wp:lineTo x="0" y="21486"/>
                <wp:lineTo x="21571" y="21486"/>
                <wp:lineTo x="21571" y="0"/>
                <wp:lineTo x="0" y="0"/>
              </wp:wrapPolygon>
            </wp:wrapTight>
            <wp:docPr id="7" name="Billede 7" descr="Et billede, der indeholder tekst, Font/skrifttype, diagram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lede 7" descr="Et billede, der indeholder tekst, Font/skrifttype, diagram, skærmbillede&#10;&#10;Automatisk genereret beskrivels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066"/>
                    <a:stretch/>
                  </pic:blipFill>
                  <pic:spPr bwMode="auto">
                    <a:xfrm>
                      <a:off x="0" y="0"/>
                      <a:ext cx="7630160" cy="3619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DDD82D" w14:textId="77777777" w:rsidR="00E30720" w:rsidRDefault="00E30720" w:rsidP="00E30720">
      <w:pPr>
        <w:pStyle w:val="Listeafsnit"/>
      </w:pPr>
    </w:p>
    <w:p w14:paraId="72BB39C5" w14:textId="77777777" w:rsidR="00E30720" w:rsidRDefault="00E30720" w:rsidP="00E30720">
      <w:pPr>
        <w:pStyle w:val="Listeafsnit"/>
        <w:spacing w:after="160" w:line="259" w:lineRule="auto"/>
      </w:pPr>
    </w:p>
    <w:p w14:paraId="13A42B56" w14:textId="77777777" w:rsidR="00E30720" w:rsidRDefault="00E30720" w:rsidP="00E30720"/>
    <w:p w14:paraId="1C1F43F5" w14:textId="77777777" w:rsidR="00E30720" w:rsidRDefault="00E30720" w:rsidP="00E30720"/>
    <w:p w14:paraId="767ECCF1" w14:textId="77777777" w:rsidR="00E30720" w:rsidRDefault="00E30720" w:rsidP="00E30720"/>
    <w:p w14:paraId="79892991" w14:textId="77777777" w:rsidR="00E30720" w:rsidRDefault="00E30720" w:rsidP="00E30720"/>
    <w:p w14:paraId="1E0C8ECC" w14:textId="77777777" w:rsidR="00E30720" w:rsidRDefault="00E30720" w:rsidP="00E30720"/>
    <w:p w14:paraId="62CEE9F8" w14:textId="77777777" w:rsidR="00E30720" w:rsidRDefault="00E30720" w:rsidP="00E30720"/>
    <w:p w14:paraId="36F2C256" w14:textId="77777777" w:rsidR="00E30720" w:rsidRPr="00E361EB" w:rsidRDefault="00E30720" w:rsidP="00E30720">
      <w:pPr>
        <w:pStyle w:val="Listeafsnit"/>
        <w:rPr>
          <w:rFonts w:ascii="Calibri" w:hAnsi="Calibri" w:cs="Calibri"/>
        </w:rPr>
      </w:pPr>
    </w:p>
    <w:p w14:paraId="7DF74974" w14:textId="77777777" w:rsidR="00C56105" w:rsidRDefault="00C56105"/>
    <w:sectPr w:rsidR="00C56105" w:rsidSect="003D5993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94D18"/>
    <w:multiLevelType w:val="hybridMultilevel"/>
    <w:tmpl w:val="8BB0733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614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5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720"/>
    <w:rsid w:val="001C616C"/>
    <w:rsid w:val="003D5993"/>
    <w:rsid w:val="004D271C"/>
    <w:rsid w:val="00580053"/>
    <w:rsid w:val="00717A0A"/>
    <w:rsid w:val="008D2D62"/>
    <w:rsid w:val="00BD4D00"/>
    <w:rsid w:val="00C56105"/>
    <w:rsid w:val="00CC431C"/>
    <w:rsid w:val="00E30720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2078D0"/>
  <w15:chartTrackingRefBased/>
  <w15:docId w15:val="{ADFB81AF-4B0C-DD4B-ABD6-F5CD27CF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72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D4D0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4D0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4D0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4D0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4D0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4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4D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4D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4D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4D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4D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4D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4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BD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4D00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BD4D00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Citat">
    <w:name w:val="Quote"/>
    <w:basedOn w:val="Normal"/>
    <w:next w:val="Normal"/>
    <w:link w:val="CitatTegn"/>
    <w:uiPriority w:val="29"/>
    <w:qFormat/>
    <w:rsid w:val="00BD4D00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BD4D00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4D00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BD4D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4D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E30720"/>
    <w:rPr>
      <w:color w:val="467886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E3072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tidslinjer.dk/undervisning/den-europaeiske-unions-histor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thinkeuropa.dk/meningsmaaling/2025-04-ny-maaling-et-flertal-af-danskerne-vil-bevare-eu-forbeholden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372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1</cp:revision>
  <dcterms:created xsi:type="dcterms:W3CDTF">2025-09-12T10:40:00Z</dcterms:created>
  <dcterms:modified xsi:type="dcterms:W3CDTF">2025-09-12T10:46:00Z</dcterms:modified>
</cp:coreProperties>
</file>