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DB9A" w14:textId="2A23D9AD" w:rsidR="00EA42CC" w:rsidRPr="00063805" w:rsidRDefault="00EA42CC" w:rsidP="00EA42CC">
      <w:pPr>
        <w:pStyle w:val="Titel"/>
        <w:rPr>
          <w:rFonts w:asciiTheme="minorHAnsi" w:eastAsiaTheme="minorHAnsi" w:hAnsiTheme="minorHAnsi" w:cstheme="minorBidi"/>
          <w:spacing w:val="0"/>
          <w:kern w:val="0"/>
          <w:sz w:val="22"/>
          <w:szCs w:val="22"/>
        </w:rPr>
      </w:pPr>
      <w:r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F32350"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 d. </w:t>
      </w:r>
      <w:r w:rsidR="00063805"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28</w:t>
      </w:r>
      <w:r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063805"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063805"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KV2</w:t>
      </w:r>
      <w:r w:rsidR="00063805">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063805">
        <w:rPr>
          <w:rFonts w:asciiTheme="minorHAnsi" w:eastAsiaTheme="minorHAnsi" w:hAnsiTheme="minorHAnsi" w:cstheme="minorBidi"/>
          <w:spacing w:val="0"/>
          <w:kern w:val="0"/>
          <w:sz w:val="22"/>
          <w:szCs w:val="22"/>
        </w:rPr>
        <w:t xml:space="preserve"> </w:t>
      </w:r>
    </w:p>
    <w:p w14:paraId="2A1D9177" w14:textId="3A4804D7" w:rsidR="00EA42CC" w:rsidRPr="00063805" w:rsidRDefault="00EA42CC" w:rsidP="00EA42CC">
      <w:pPr>
        <w:rPr>
          <w:rStyle w:val="Hyperlink"/>
          <w:rFonts w:ascii="Calibri" w:hAnsi="Calibri" w:cs="Calibri"/>
          <w:sz w:val="24"/>
          <w:szCs w:val="24"/>
        </w:rPr>
      </w:pPr>
      <w:r w:rsidRPr="00063805">
        <w:rPr>
          <w:rFonts w:ascii="Calibri" w:hAnsi="Calibri" w:cs="Calibri"/>
          <w:sz w:val="24"/>
          <w:szCs w:val="24"/>
        </w:rPr>
        <w:t xml:space="preserve">Lektier: s. 66-67 i Byrådet + </w:t>
      </w:r>
      <w:r w:rsidR="00F32350" w:rsidRPr="00063805">
        <w:rPr>
          <w:rFonts w:ascii="Calibri" w:hAnsi="Calibri" w:cs="Calibri"/>
          <w:sz w:val="24"/>
          <w:szCs w:val="24"/>
        </w:rPr>
        <w:t>https://www.dr.dk/nyheder/indland/betaler-andre-en-del-af-regningen-dig-tjek-din-kommune-her</w:t>
      </w:r>
    </w:p>
    <w:p w14:paraId="693C24D9" w14:textId="68A6973D" w:rsidR="003D4CD8" w:rsidRPr="003D4CD8" w:rsidRDefault="003D4CD8" w:rsidP="003D4CD8">
      <w:pPr>
        <w:pStyle w:val="Listeafsnit"/>
        <w:numPr>
          <w:ilvl w:val="0"/>
          <w:numId w:val="2"/>
        </w:numPr>
        <w:rPr>
          <w:rFonts w:ascii="Calibri" w:hAnsi="Calibri" w:cs="Calibri"/>
          <w:sz w:val="24"/>
          <w:szCs w:val="24"/>
        </w:rPr>
      </w:pPr>
      <w:r w:rsidRPr="003D4CD8">
        <w:rPr>
          <w:rFonts w:ascii="Calibri" w:hAnsi="Calibri" w:cs="Calibri"/>
          <w:sz w:val="24"/>
          <w:szCs w:val="24"/>
        </w:rPr>
        <w:t xml:space="preserve">Præsentation af aflevering 3. </w:t>
      </w:r>
    </w:p>
    <w:p w14:paraId="0AEB8E9A" w14:textId="705E35A0" w:rsidR="00EA42CC" w:rsidRPr="003D4CD8" w:rsidRDefault="00063805" w:rsidP="00063805">
      <w:pPr>
        <w:pStyle w:val="Listeafsnit"/>
        <w:numPr>
          <w:ilvl w:val="0"/>
          <w:numId w:val="2"/>
        </w:numPr>
        <w:rPr>
          <w:rFonts w:ascii="Calibri" w:hAnsi="Calibri" w:cs="Calibri"/>
        </w:rPr>
      </w:pPr>
      <w:r w:rsidRPr="003D4CD8">
        <w:rPr>
          <w:rFonts w:ascii="Calibri" w:hAnsi="Calibri" w:cs="Calibri"/>
        </w:rPr>
        <w:t xml:space="preserve">Vi ser resten af velfærdsbussen. </w:t>
      </w:r>
    </w:p>
    <w:p w14:paraId="1F6AF219" w14:textId="0F818C93" w:rsidR="00EA42CC" w:rsidRPr="003D4CD8" w:rsidRDefault="00EA42CC" w:rsidP="00063805">
      <w:pPr>
        <w:rPr>
          <w:rFonts w:ascii="Calibri" w:hAnsi="Calibri" w:cs="Calibri"/>
        </w:rPr>
      </w:pPr>
      <w:r w:rsidRPr="003D4CD8">
        <w:rPr>
          <w:rFonts w:ascii="Calibri" w:hAnsi="Calibri" w:cs="Calibri"/>
        </w:rPr>
        <w:t xml:space="preserve">Komparativ metode: </w:t>
      </w:r>
    </w:p>
    <w:p w14:paraId="77FAA27D" w14:textId="005A8D01" w:rsidR="00EA42CC" w:rsidRPr="003D4CD8" w:rsidRDefault="00EA42CC" w:rsidP="00063805">
      <w:pPr>
        <w:pStyle w:val="Listeafsnit"/>
        <w:numPr>
          <w:ilvl w:val="0"/>
          <w:numId w:val="2"/>
        </w:numPr>
        <w:rPr>
          <w:rFonts w:ascii="Calibri" w:hAnsi="Calibri" w:cs="Calibri"/>
        </w:rPr>
      </w:pPr>
      <w:r w:rsidRPr="003D4CD8">
        <w:rPr>
          <w:rFonts w:ascii="Calibri" w:hAnsi="Calibri" w:cs="Calibri"/>
        </w:rPr>
        <w:t xml:space="preserve">Udfyld nedenstående skema ved hjælp af </w:t>
      </w:r>
      <w:hyperlink r:id="rId5" w:history="1">
        <w:r w:rsidRPr="003D4CD8">
          <w:rPr>
            <w:rStyle w:val="Hyperlink"/>
            <w:rFonts w:ascii="Calibri" w:hAnsi="Calibri" w:cs="Calibri"/>
          </w:rPr>
          <w:t>https://www.noegletal.dk/noegletal/ntStart.html</w:t>
        </w:r>
      </w:hyperlink>
    </w:p>
    <w:p w14:paraId="70CC2F14" w14:textId="18F64659" w:rsidR="00EA42CC" w:rsidRPr="003D4CD8" w:rsidRDefault="00EA42CC" w:rsidP="00063805">
      <w:pPr>
        <w:ind w:firstLine="720"/>
        <w:rPr>
          <w:rFonts w:ascii="Calibri" w:hAnsi="Calibri" w:cs="Calibri"/>
        </w:rPr>
      </w:pPr>
      <w:r w:rsidRPr="003D4CD8">
        <w:rPr>
          <w:rFonts w:ascii="Calibri" w:hAnsi="Calibri" w:cs="Calibri"/>
        </w:rPr>
        <w:t>Hvilket billede tegner sig?</w:t>
      </w:r>
    </w:p>
    <w:p w14:paraId="301D6F70" w14:textId="6A62C183" w:rsidR="00EA42CC" w:rsidRPr="003D4CD8" w:rsidRDefault="00EA42CC" w:rsidP="00396C5D">
      <w:pPr>
        <w:ind w:firstLine="720"/>
        <w:rPr>
          <w:rFonts w:ascii="Calibri" w:hAnsi="Calibri" w:cs="Calibri"/>
        </w:rPr>
      </w:pPr>
      <w:r w:rsidRPr="003D4CD8">
        <w:rPr>
          <w:rFonts w:ascii="Calibri" w:hAnsi="Calibri" w:cs="Calibri"/>
        </w:rPr>
        <w:t>Hvilke argumenter er der for og imod udligningsreformen ud fra det statistiske materiale?</w:t>
      </w:r>
    </w:p>
    <w:p w14:paraId="71FE171A" w14:textId="1A954188" w:rsidR="00D47772" w:rsidRPr="003D4CD8" w:rsidRDefault="00D47772" w:rsidP="00D47772">
      <w:pPr>
        <w:pStyle w:val="Listeafsnit"/>
        <w:numPr>
          <w:ilvl w:val="0"/>
          <w:numId w:val="2"/>
        </w:numPr>
        <w:rPr>
          <w:rFonts w:ascii="Calibri" w:hAnsi="Calibri" w:cs="Calibri"/>
        </w:rPr>
      </w:pPr>
      <w:r w:rsidRPr="003D4CD8">
        <w:rPr>
          <w:rFonts w:ascii="Calibri" w:hAnsi="Calibri" w:cs="Calibri"/>
        </w:rPr>
        <w:t xml:space="preserve">Ulighedsteorier. Funktionalisme eller konfliktteori. </w:t>
      </w:r>
    </w:p>
    <w:tbl>
      <w:tblPr>
        <w:tblStyle w:val="Tabel-Gitter"/>
        <w:tblW w:w="0" w:type="auto"/>
        <w:tblInd w:w="81" w:type="dxa"/>
        <w:tblLook w:val="04A0" w:firstRow="1" w:lastRow="0" w:firstColumn="1" w:lastColumn="0" w:noHBand="0" w:noVBand="1"/>
      </w:tblPr>
      <w:tblGrid>
        <w:gridCol w:w="6194"/>
        <w:gridCol w:w="660"/>
        <w:gridCol w:w="488"/>
        <w:gridCol w:w="730"/>
        <w:gridCol w:w="629"/>
        <w:gridCol w:w="846"/>
      </w:tblGrid>
      <w:tr w:rsidR="00EA42CC" w:rsidRPr="003D4CD8" w14:paraId="61D9CDF5" w14:textId="77777777" w:rsidTr="00396C5D">
        <w:tc>
          <w:tcPr>
            <w:tcW w:w="6194" w:type="dxa"/>
          </w:tcPr>
          <w:p w14:paraId="07E8EB06" w14:textId="5579793B" w:rsidR="00EA42CC" w:rsidRPr="003D4CD8" w:rsidRDefault="00EA42CC" w:rsidP="00064D62">
            <w:pPr>
              <w:rPr>
                <w:rFonts w:ascii="Calibri" w:hAnsi="Calibri" w:cs="Calibri"/>
                <w:sz w:val="24"/>
                <w:szCs w:val="24"/>
              </w:rPr>
            </w:pPr>
            <w:r w:rsidRPr="003D4CD8">
              <w:rPr>
                <w:rFonts w:ascii="Calibri" w:hAnsi="Calibri" w:cs="Calibri"/>
                <w:sz w:val="24"/>
                <w:szCs w:val="24"/>
              </w:rPr>
              <w:t>20</w:t>
            </w:r>
            <w:r w:rsidR="00F32350" w:rsidRPr="003D4CD8">
              <w:rPr>
                <w:rFonts w:ascii="Calibri" w:hAnsi="Calibri" w:cs="Calibri"/>
                <w:sz w:val="24"/>
                <w:szCs w:val="24"/>
              </w:rPr>
              <w:t>24</w:t>
            </w:r>
          </w:p>
        </w:tc>
        <w:tc>
          <w:tcPr>
            <w:tcW w:w="660" w:type="dxa"/>
          </w:tcPr>
          <w:p w14:paraId="0D8CF357"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Aalborg</w:t>
            </w:r>
          </w:p>
        </w:tc>
        <w:tc>
          <w:tcPr>
            <w:tcW w:w="488" w:type="dxa"/>
          </w:tcPr>
          <w:p w14:paraId="735FFFE2"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Ishøj</w:t>
            </w:r>
          </w:p>
        </w:tc>
        <w:tc>
          <w:tcPr>
            <w:tcW w:w="730" w:type="dxa"/>
          </w:tcPr>
          <w:p w14:paraId="44E8728B"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Gentofte</w:t>
            </w:r>
          </w:p>
        </w:tc>
        <w:tc>
          <w:tcPr>
            <w:tcW w:w="629" w:type="dxa"/>
          </w:tcPr>
          <w:p w14:paraId="247F18A3"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Lolland</w:t>
            </w:r>
          </w:p>
        </w:tc>
        <w:tc>
          <w:tcPr>
            <w:tcW w:w="846" w:type="dxa"/>
          </w:tcPr>
          <w:p w14:paraId="3AE0EC66"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Alle kommuner</w:t>
            </w:r>
          </w:p>
        </w:tc>
      </w:tr>
      <w:tr w:rsidR="00EA42CC" w:rsidRPr="003D4CD8" w14:paraId="70750A08" w14:textId="77777777" w:rsidTr="00396C5D">
        <w:tc>
          <w:tcPr>
            <w:tcW w:w="6194" w:type="dxa"/>
          </w:tcPr>
          <w:p w14:paraId="7BBF2616"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Andel 25-65-årige med videregående uddannelse</w:t>
            </w:r>
          </w:p>
        </w:tc>
        <w:tc>
          <w:tcPr>
            <w:tcW w:w="660" w:type="dxa"/>
          </w:tcPr>
          <w:p w14:paraId="6F252462" w14:textId="77777777" w:rsidR="00EA42CC" w:rsidRPr="003D4CD8" w:rsidRDefault="00EA42CC" w:rsidP="00064D62">
            <w:pPr>
              <w:rPr>
                <w:rFonts w:ascii="Calibri" w:hAnsi="Calibri" w:cs="Calibri"/>
                <w:sz w:val="24"/>
                <w:szCs w:val="24"/>
              </w:rPr>
            </w:pPr>
          </w:p>
        </w:tc>
        <w:tc>
          <w:tcPr>
            <w:tcW w:w="488" w:type="dxa"/>
          </w:tcPr>
          <w:p w14:paraId="7EF1B052" w14:textId="77777777" w:rsidR="00EA42CC" w:rsidRPr="003D4CD8" w:rsidRDefault="00EA42CC" w:rsidP="00064D62">
            <w:pPr>
              <w:rPr>
                <w:rFonts w:ascii="Calibri" w:hAnsi="Calibri" w:cs="Calibri"/>
                <w:sz w:val="24"/>
                <w:szCs w:val="24"/>
              </w:rPr>
            </w:pPr>
          </w:p>
        </w:tc>
        <w:tc>
          <w:tcPr>
            <w:tcW w:w="730" w:type="dxa"/>
          </w:tcPr>
          <w:p w14:paraId="19062936" w14:textId="77777777" w:rsidR="00EA42CC" w:rsidRPr="003D4CD8" w:rsidRDefault="00EA42CC" w:rsidP="00064D62">
            <w:pPr>
              <w:rPr>
                <w:rFonts w:ascii="Calibri" w:hAnsi="Calibri" w:cs="Calibri"/>
                <w:sz w:val="24"/>
                <w:szCs w:val="24"/>
              </w:rPr>
            </w:pPr>
          </w:p>
        </w:tc>
        <w:tc>
          <w:tcPr>
            <w:tcW w:w="629" w:type="dxa"/>
          </w:tcPr>
          <w:p w14:paraId="1C67B3FE" w14:textId="77777777" w:rsidR="00EA42CC" w:rsidRPr="003D4CD8" w:rsidRDefault="00EA42CC" w:rsidP="00064D62">
            <w:pPr>
              <w:rPr>
                <w:rFonts w:ascii="Calibri" w:hAnsi="Calibri" w:cs="Calibri"/>
                <w:sz w:val="24"/>
                <w:szCs w:val="24"/>
              </w:rPr>
            </w:pPr>
          </w:p>
        </w:tc>
        <w:tc>
          <w:tcPr>
            <w:tcW w:w="846" w:type="dxa"/>
          </w:tcPr>
          <w:p w14:paraId="5170D3AA" w14:textId="77777777" w:rsidR="00EA42CC" w:rsidRPr="003D4CD8" w:rsidRDefault="00EA42CC" w:rsidP="00064D62">
            <w:pPr>
              <w:rPr>
                <w:rFonts w:ascii="Calibri" w:hAnsi="Calibri" w:cs="Calibri"/>
                <w:sz w:val="24"/>
                <w:szCs w:val="24"/>
              </w:rPr>
            </w:pPr>
          </w:p>
        </w:tc>
      </w:tr>
      <w:tr w:rsidR="00EA42CC" w:rsidRPr="003D4CD8" w14:paraId="60FB191D" w14:textId="77777777" w:rsidTr="00396C5D">
        <w:tc>
          <w:tcPr>
            <w:tcW w:w="6194" w:type="dxa"/>
          </w:tcPr>
          <w:p w14:paraId="550EB69D"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Andel 25-65-årige uden erhvervsuddannelse</w:t>
            </w:r>
          </w:p>
        </w:tc>
        <w:tc>
          <w:tcPr>
            <w:tcW w:w="660" w:type="dxa"/>
          </w:tcPr>
          <w:p w14:paraId="3080797B" w14:textId="77777777" w:rsidR="00EA42CC" w:rsidRPr="003D4CD8" w:rsidRDefault="00EA42CC" w:rsidP="00064D62">
            <w:pPr>
              <w:rPr>
                <w:rFonts w:ascii="Calibri" w:hAnsi="Calibri" w:cs="Calibri"/>
                <w:sz w:val="24"/>
                <w:szCs w:val="24"/>
              </w:rPr>
            </w:pPr>
          </w:p>
        </w:tc>
        <w:tc>
          <w:tcPr>
            <w:tcW w:w="488" w:type="dxa"/>
          </w:tcPr>
          <w:p w14:paraId="4BC1325C" w14:textId="77777777" w:rsidR="00EA42CC" w:rsidRPr="003D4CD8" w:rsidRDefault="00EA42CC" w:rsidP="00064D62">
            <w:pPr>
              <w:rPr>
                <w:rFonts w:ascii="Calibri" w:hAnsi="Calibri" w:cs="Calibri"/>
                <w:sz w:val="24"/>
                <w:szCs w:val="24"/>
              </w:rPr>
            </w:pPr>
          </w:p>
        </w:tc>
        <w:tc>
          <w:tcPr>
            <w:tcW w:w="730" w:type="dxa"/>
          </w:tcPr>
          <w:p w14:paraId="4DB5C29F" w14:textId="77777777" w:rsidR="00EA42CC" w:rsidRPr="003D4CD8" w:rsidRDefault="00EA42CC" w:rsidP="00064D62">
            <w:pPr>
              <w:rPr>
                <w:rFonts w:ascii="Calibri" w:hAnsi="Calibri" w:cs="Calibri"/>
                <w:sz w:val="24"/>
                <w:szCs w:val="24"/>
              </w:rPr>
            </w:pPr>
          </w:p>
        </w:tc>
        <w:tc>
          <w:tcPr>
            <w:tcW w:w="629" w:type="dxa"/>
          </w:tcPr>
          <w:p w14:paraId="50F82760" w14:textId="77777777" w:rsidR="00EA42CC" w:rsidRPr="003D4CD8" w:rsidRDefault="00EA42CC" w:rsidP="00064D62">
            <w:pPr>
              <w:rPr>
                <w:rFonts w:ascii="Calibri" w:hAnsi="Calibri" w:cs="Calibri"/>
                <w:sz w:val="24"/>
                <w:szCs w:val="24"/>
              </w:rPr>
            </w:pPr>
          </w:p>
        </w:tc>
        <w:tc>
          <w:tcPr>
            <w:tcW w:w="846" w:type="dxa"/>
          </w:tcPr>
          <w:p w14:paraId="5B0B7101" w14:textId="77777777" w:rsidR="00EA42CC" w:rsidRPr="003D4CD8" w:rsidRDefault="00EA42CC" w:rsidP="00064D62">
            <w:pPr>
              <w:rPr>
                <w:rFonts w:ascii="Calibri" w:hAnsi="Calibri" w:cs="Calibri"/>
                <w:sz w:val="24"/>
                <w:szCs w:val="24"/>
              </w:rPr>
            </w:pPr>
          </w:p>
        </w:tc>
      </w:tr>
      <w:tr w:rsidR="00EA42CC" w:rsidRPr="003D4CD8" w14:paraId="5457B572" w14:textId="77777777" w:rsidTr="00396C5D">
        <w:tc>
          <w:tcPr>
            <w:tcW w:w="6194" w:type="dxa"/>
          </w:tcPr>
          <w:p w14:paraId="1BFF6101"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Førtidspensionister pr. 100 17-65-årige</w:t>
            </w:r>
          </w:p>
        </w:tc>
        <w:tc>
          <w:tcPr>
            <w:tcW w:w="660" w:type="dxa"/>
          </w:tcPr>
          <w:p w14:paraId="2F391352" w14:textId="77777777" w:rsidR="00EA42CC" w:rsidRPr="003D4CD8" w:rsidRDefault="00EA42CC" w:rsidP="00064D62">
            <w:pPr>
              <w:rPr>
                <w:rFonts w:ascii="Calibri" w:hAnsi="Calibri" w:cs="Calibri"/>
                <w:sz w:val="24"/>
                <w:szCs w:val="24"/>
              </w:rPr>
            </w:pPr>
          </w:p>
        </w:tc>
        <w:tc>
          <w:tcPr>
            <w:tcW w:w="488" w:type="dxa"/>
          </w:tcPr>
          <w:p w14:paraId="3BA6EDDB" w14:textId="77777777" w:rsidR="00EA42CC" w:rsidRPr="003D4CD8" w:rsidRDefault="00EA42CC" w:rsidP="00064D62">
            <w:pPr>
              <w:rPr>
                <w:rFonts w:ascii="Calibri" w:hAnsi="Calibri" w:cs="Calibri"/>
                <w:sz w:val="24"/>
                <w:szCs w:val="24"/>
              </w:rPr>
            </w:pPr>
          </w:p>
        </w:tc>
        <w:tc>
          <w:tcPr>
            <w:tcW w:w="730" w:type="dxa"/>
          </w:tcPr>
          <w:p w14:paraId="0DFFC5D3" w14:textId="77777777" w:rsidR="00EA42CC" w:rsidRPr="003D4CD8" w:rsidRDefault="00EA42CC" w:rsidP="00064D62">
            <w:pPr>
              <w:rPr>
                <w:rFonts w:ascii="Calibri" w:hAnsi="Calibri" w:cs="Calibri"/>
                <w:sz w:val="24"/>
                <w:szCs w:val="24"/>
              </w:rPr>
            </w:pPr>
          </w:p>
        </w:tc>
        <w:tc>
          <w:tcPr>
            <w:tcW w:w="629" w:type="dxa"/>
          </w:tcPr>
          <w:p w14:paraId="2854EC45" w14:textId="77777777" w:rsidR="00EA42CC" w:rsidRPr="003D4CD8" w:rsidRDefault="00EA42CC" w:rsidP="00064D62">
            <w:pPr>
              <w:rPr>
                <w:rFonts w:ascii="Calibri" w:hAnsi="Calibri" w:cs="Calibri"/>
                <w:sz w:val="24"/>
                <w:szCs w:val="24"/>
              </w:rPr>
            </w:pPr>
          </w:p>
        </w:tc>
        <w:tc>
          <w:tcPr>
            <w:tcW w:w="846" w:type="dxa"/>
          </w:tcPr>
          <w:p w14:paraId="5CF8EAE2" w14:textId="77777777" w:rsidR="00EA42CC" w:rsidRPr="003D4CD8" w:rsidRDefault="00EA42CC" w:rsidP="00064D62">
            <w:pPr>
              <w:rPr>
                <w:rFonts w:ascii="Calibri" w:hAnsi="Calibri" w:cs="Calibri"/>
                <w:sz w:val="24"/>
                <w:szCs w:val="24"/>
              </w:rPr>
            </w:pPr>
          </w:p>
        </w:tc>
      </w:tr>
      <w:tr w:rsidR="00EA42CC" w:rsidRPr="003D4CD8" w14:paraId="515745DD" w14:textId="77777777" w:rsidTr="00396C5D">
        <w:tc>
          <w:tcPr>
            <w:tcW w:w="6194" w:type="dxa"/>
          </w:tcPr>
          <w:p w14:paraId="43D8ABFB" w14:textId="7FB83E4C" w:rsidR="00EA42CC" w:rsidRPr="003D4CD8" w:rsidRDefault="00EA42CC" w:rsidP="00064D62">
            <w:pPr>
              <w:rPr>
                <w:rFonts w:ascii="Calibri" w:hAnsi="Calibri" w:cs="Calibri"/>
                <w:sz w:val="24"/>
                <w:szCs w:val="24"/>
              </w:rPr>
            </w:pPr>
            <w:r w:rsidRPr="003D4CD8">
              <w:rPr>
                <w:rFonts w:ascii="Calibri" w:hAnsi="Calibri" w:cs="Calibri"/>
                <w:sz w:val="24"/>
                <w:szCs w:val="24"/>
              </w:rPr>
              <w:t xml:space="preserve">Socioøkonomisk indeks. Husk at læse om parameter under definitioner. </w:t>
            </w:r>
          </w:p>
        </w:tc>
        <w:tc>
          <w:tcPr>
            <w:tcW w:w="660" w:type="dxa"/>
          </w:tcPr>
          <w:p w14:paraId="6A4AA6A8" w14:textId="77777777" w:rsidR="00EA42CC" w:rsidRPr="003D4CD8" w:rsidRDefault="00EA42CC" w:rsidP="00064D62">
            <w:pPr>
              <w:rPr>
                <w:rFonts w:ascii="Calibri" w:hAnsi="Calibri" w:cs="Calibri"/>
                <w:sz w:val="24"/>
                <w:szCs w:val="24"/>
              </w:rPr>
            </w:pPr>
          </w:p>
        </w:tc>
        <w:tc>
          <w:tcPr>
            <w:tcW w:w="488" w:type="dxa"/>
          </w:tcPr>
          <w:p w14:paraId="4CE85924" w14:textId="77777777" w:rsidR="00EA42CC" w:rsidRPr="003D4CD8" w:rsidRDefault="00EA42CC" w:rsidP="00064D62">
            <w:pPr>
              <w:rPr>
                <w:rFonts w:ascii="Calibri" w:hAnsi="Calibri" w:cs="Calibri"/>
                <w:sz w:val="24"/>
                <w:szCs w:val="24"/>
              </w:rPr>
            </w:pPr>
          </w:p>
        </w:tc>
        <w:tc>
          <w:tcPr>
            <w:tcW w:w="730" w:type="dxa"/>
          </w:tcPr>
          <w:p w14:paraId="08B09951" w14:textId="77777777" w:rsidR="00EA42CC" w:rsidRPr="003D4CD8" w:rsidRDefault="00EA42CC" w:rsidP="00064D62">
            <w:pPr>
              <w:rPr>
                <w:rFonts w:ascii="Calibri" w:hAnsi="Calibri" w:cs="Calibri"/>
                <w:sz w:val="24"/>
                <w:szCs w:val="24"/>
              </w:rPr>
            </w:pPr>
          </w:p>
        </w:tc>
        <w:tc>
          <w:tcPr>
            <w:tcW w:w="629" w:type="dxa"/>
          </w:tcPr>
          <w:p w14:paraId="79F666BA" w14:textId="77777777" w:rsidR="00EA42CC" w:rsidRPr="003D4CD8" w:rsidRDefault="00EA42CC" w:rsidP="00064D62">
            <w:pPr>
              <w:rPr>
                <w:rFonts w:ascii="Calibri" w:hAnsi="Calibri" w:cs="Calibri"/>
                <w:sz w:val="24"/>
                <w:szCs w:val="24"/>
              </w:rPr>
            </w:pPr>
          </w:p>
        </w:tc>
        <w:tc>
          <w:tcPr>
            <w:tcW w:w="846" w:type="dxa"/>
          </w:tcPr>
          <w:p w14:paraId="7CCFF783" w14:textId="77777777" w:rsidR="00EA42CC" w:rsidRPr="003D4CD8" w:rsidRDefault="00EA42CC" w:rsidP="00064D62">
            <w:pPr>
              <w:rPr>
                <w:rFonts w:ascii="Calibri" w:hAnsi="Calibri" w:cs="Calibri"/>
                <w:sz w:val="24"/>
                <w:szCs w:val="24"/>
              </w:rPr>
            </w:pPr>
          </w:p>
        </w:tc>
      </w:tr>
      <w:tr w:rsidR="00EA42CC" w:rsidRPr="003D4CD8" w14:paraId="26957CBF" w14:textId="77777777" w:rsidTr="00396C5D">
        <w:tc>
          <w:tcPr>
            <w:tcW w:w="6194" w:type="dxa"/>
          </w:tcPr>
          <w:p w14:paraId="1C201112"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Kontanthjælpsmodtagere m.fl. pr 100 17-</w:t>
            </w:r>
            <w:proofErr w:type="gramStart"/>
            <w:r w:rsidRPr="003D4CD8">
              <w:rPr>
                <w:rFonts w:ascii="Calibri" w:hAnsi="Calibri" w:cs="Calibri"/>
                <w:sz w:val="24"/>
                <w:szCs w:val="24"/>
              </w:rPr>
              <w:t>64 årige</w:t>
            </w:r>
            <w:proofErr w:type="gramEnd"/>
          </w:p>
        </w:tc>
        <w:tc>
          <w:tcPr>
            <w:tcW w:w="660" w:type="dxa"/>
          </w:tcPr>
          <w:p w14:paraId="153B9497" w14:textId="77777777" w:rsidR="00EA42CC" w:rsidRPr="003D4CD8" w:rsidRDefault="00EA42CC" w:rsidP="00064D62">
            <w:pPr>
              <w:rPr>
                <w:rFonts w:ascii="Calibri" w:hAnsi="Calibri" w:cs="Calibri"/>
                <w:sz w:val="24"/>
                <w:szCs w:val="24"/>
              </w:rPr>
            </w:pPr>
          </w:p>
        </w:tc>
        <w:tc>
          <w:tcPr>
            <w:tcW w:w="488" w:type="dxa"/>
          </w:tcPr>
          <w:p w14:paraId="29C02F69" w14:textId="77777777" w:rsidR="00EA42CC" w:rsidRPr="003D4CD8" w:rsidRDefault="00EA42CC" w:rsidP="00064D62">
            <w:pPr>
              <w:rPr>
                <w:rFonts w:ascii="Calibri" w:hAnsi="Calibri" w:cs="Calibri"/>
                <w:sz w:val="24"/>
                <w:szCs w:val="24"/>
              </w:rPr>
            </w:pPr>
          </w:p>
        </w:tc>
        <w:tc>
          <w:tcPr>
            <w:tcW w:w="730" w:type="dxa"/>
          </w:tcPr>
          <w:p w14:paraId="4CE79EB8" w14:textId="77777777" w:rsidR="00EA42CC" w:rsidRPr="003D4CD8" w:rsidRDefault="00EA42CC" w:rsidP="00064D62">
            <w:pPr>
              <w:rPr>
                <w:rFonts w:ascii="Calibri" w:hAnsi="Calibri" w:cs="Calibri"/>
                <w:sz w:val="24"/>
                <w:szCs w:val="24"/>
              </w:rPr>
            </w:pPr>
          </w:p>
        </w:tc>
        <w:tc>
          <w:tcPr>
            <w:tcW w:w="629" w:type="dxa"/>
          </w:tcPr>
          <w:p w14:paraId="6CC0CEEF" w14:textId="77777777" w:rsidR="00EA42CC" w:rsidRPr="003D4CD8" w:rsidRDefault="00EA42CC" w:rsidP="00064D62">
            <w:pPr>
              <w:rPr>
                <w:rFonts w:ascii="Calibri" w:hAnsi="Calibri" w:cs="Calibri"/>
                <w:sz w:val="24"/>
                <w:szCs w:val="24"/>
              </w:rPr>
            </w:pPr>
          </w:p>
        </w:tc>
        <w:tc>
          <w:tcPr>
            <w:tcW w:w="846" w:type="dxa"/>
          </w:tcPr>
          <w:p w14:paraId="3BCF9BB7" w14:textId="77777777" w:rsidR="00EA42CC" w:rsidRPr="003D4CD8" w:rsidRDefault="00EA42CC" w:rsidP="00064D62">
            <w:pPr>
              <w:rPr>
                <w:rFonts w:ascii="Calibri" w:hAnsi="Calibri" w:cs="Calibri"/>
                <w:sz w:val="24"/>
                <w:szCs w:val="24"/>
              </w:rPr>
            </w:pPr>
          </w:p>
        </w:tc>
      </w:tr>
      <w:tr w:rsidR="00EA42CC" w:rsidRPr="003D4CD8" w14:paraId="4C342C6E" w14:textId="77777777" w:rsidTr="00396C5D">
        <w:tc>
          <w:tcPr>
            <w:tcW w:w="6194" w:type="dxa"/>
          </w:tcPr>
          <w:p w14:paraId="4FDF66E1" w14:textId="0E6460C1" w:rsidR="00EA42CC" w:rsidRPr="003D4CD8" w:rsidRDefault="00EA42CC" w:rsidP="00064D62">
            <w:pPr>
              <w:rPr>
                <w:rFonts w:ascii="Calibri" w:hAnsi="Calibri" w:cs="Calibri"/>
                <w:sz w:val="24"/>
                <w:szCs w:val="24"/>
              </w:rPr>
            </w:pPr>
            <w:r w:rsidRPr="003D4CD8">
              <w:rPr>
                <w:rFonts w:ascii="Calibri" w:hAnsi="Calibri" w:cs="Calibri"/>
                <w:sz w:val="24"/>
                <w:szCs w:val="24"/>
              </w:rPr>
              <w:t xml:space="preserve">Statsborgere fra ikke-vestlige lande. </w:t>
            </w:r>
          </w:p>
        </w:tc>
        <w:tc>
          <w:tcPr>
            <w:tcW w:w="660" w:type="dxa"/>
          </w:tcPr>
          <w:p w14:paraId="487AA81E" w14:textId="77777777" w:rsidR="00EA42CC" w:rsidRPr="003D4CD8" w:rsidRDefault="00EA42CC" w:rsidP="00064D62">
            <w:pPr>
              <w:rPr>
                <w:rFonts w:ascii="Calibri" w:hAnsi="Calibri" w:cs="Calibri"/>
                <w:sz w:val="24"/>
                <w:szCs w:val="24"/>
              </w:rPr>
            </w:pPr>
          </w:p>
        </w:tc>
        <w:tc>
          <w:tcPr>
            <w:tcW w:w="488" w:type="dxa"/>
          </w:tcPr>
          <w:p w14:paraId="249073B2" w14:textId="77777777" w:rsidR="00EA42CC" w:rsidRPr="003D4CD8" w:rsidRDefault="00EA42CC" w:rsidP="00064D62">
            <w:pPr>
              <w:rPr>
                <w:rFonts w:ascii="Calibri" w:hAnsi="Calibri" w:cs="Calibri"/>
                <w:sz w:val="24"/>
                <w:szCs w:val="24"/>
              </w:rPr>
            </w:pPr>
          </w:p>
        </w:tc>
        <w:tc>
          <w:tcPr>
            <w:tcW w:w="730" w:type="dxa"/>
          </w:tcPr>
          <w:p w14:paraId="54B3439D" w14:textId="77777777" w:rsidR="00EA42CC" w:rsidRPr="003D4CD8" w:rsidRDefault="00EA42CC" w:rsidP="00064D62">
            <w:pPr>
              <w:rPr>
                <w:rFonts w:ascii="Calibri" w:hAnsi="Calibri" w:cs="Calibri"/>
                <w:sz w:val="24"/>
                <w:szCs w:val="24"/>
              </w:rPr>
            </w:pPr>
          </w:p>
        </w:tc>
        <w:tc>
          <w:tcPr>
            <w:tcW w:w="629" w:type="dxa"/>
          </w:tcPr>
          <w:p w14:paraId="7C35B09A" w14:textId="77777777" w:rsidR="00EA42CC" w:rsidRPr="003D4CD8" w:rsidRDefault="00EA42CC" w:rsidP="00064D62">
            <w:pPr>
              <w:rPr>
                <w:rFonts w:ascii="Calibri" w:hAnsi="Calibri" w:cs="Calibri"/>
                <w:sz w:val="24"/>
                <w:szCs w:val="24"/>
              </w:rPr>
            </w:pPr>
          </w:p>
        </w:tc>
        <w:tc>
          <w:tcPr>
            <w:tcW w:w="846" w:type="dxa"/>
          </w:tcPr>
          <w:p w14:paraId="32C50A98" w14:textId="77777777" w:rsidR="00EA42CC" w:rsidRPr="003D4CD8" w:rsidRDefault="00EA42CC" w:rsidP="00064D62">
            <w:pPr>
              <w:rPr>
                <w:rFonts w:ascii="Calibri" w:hAnsi="Calibri" w:cs="Calibri"/>
                <w:sz w:val="24"/>
                <w:szCs w:val="24"/>
              </w:rPr>
            </w:pPr>
          </w:p>
        </w:tc>
      </w:tr>
      <w:tr w:rsidR="00EA42CC" w:rsidRPr="003D4CD8" w14:paraId="645F30A6" w14:textId="77777777" w:rsidTr="00396C5D">
        <w:tc>
          <w:tcPr>
            <w:tcW w:w="6194" w:type="dxa"/>
          </w:tcPr>
          <w:p w14:paraId="79FC6DFB" w14:textId="58B37BBB" w:rsidR="00EA42CC" w:rsidRPr="003D4CD8" w:rsidRDefault="00EA42CC" w:rsidP="00064D62">
            <w:pPr>
              <w:rPr>
                <w:rFonts w:ascii="Calibri" w:hAnsi="Calibri" w:cs="Calibri"/>
                <w:sz w:val="24"/>
                <w:szCs w:val="24"/>
              </w:rPr>
            </w:pPr>
            <w:proofErr w:type="gramStart"/>
            <w:r w:rsidRPr="003D4CD8">
              <w:rPr>
                <w:rFonts w:ascii="Calibri" w:hAnsi="Calibri" w:cs="Calibri"/>
                <w:sz w:val="24"/>
                <w:szCs w:val="24"/>
              </w:rPr>
              <w:t>Gennemsnitsalder  https://www.statistikbanken.dk/statbank5a/SelectVarVal/Define.asp?Maintable=GALDER&amp;PLanguage=0</w:t>
            </w:r>
            <w:proofErr w:type="gramEnd"/>
          </w:p>
          <w:p w14:paraId="7C7F5BAB" w14:textId="77777777" w:rsidR="00EA42CC" w:rsidRPr="003D4CD8" w:rsidRDefault="00EA42CC" w:rsidP="00EA42CC">
            <w:pPr>
              <w:rPr>
                <w:rFonts w:ascii="Calibri" w:hAnsi="Calibri" w:cs="Calibri"/>
                <w:sz w:val="24"/>
                <w:szCs w:val="24"/>
              </w:rPr>
            </w:pPr>
          </w:p>
        </w:tc>
        <w:tc>
          <w:tcPr>
            <w:tcW w:w="660" w:type="dxa"/>
          </w:tcPr>
          <w:p w14:paraId="3CECA5A8" w14:textId="77777777" w:rsidR="00EA42CC" w:rsidRPr="003D4CD8" w:rsidRDefault="00EA42CC" w:rsidP="00064D62">
            <w:pPr>
              <w:rPr>
                <w:rFonts w:ascii="Calibri" w:hAnsi="Calibri" w:cs="Calibri"/>
                <w:sz w:val="24"/>
                <w:szCs w:val="24"/>
              </w:rPr>
            </w:pPr>
          </w:p>
        </w:tc>
        <w:tc>
          <w:tcPr>
            <w:tcW w:w="488" w:type="dxa"/>
          </w:tcPr>
          <w:p w14:paraId="5D9C05A8" w14:textId="77777777" w:rsidR="00EA42CC" w:rsidRPr="003D4CD8" w:rsidRDefault="00EA42CC" w:rsidP="00064D62">
            <w:pPr>
              <w:rPr>
                <w:rFonts w:ascii="Calibri" w:hAnsi="Calibri" w:cs="Calibri"/>
                <w:sz w:val="24"/>
                <w:szCs w:val="24"/>
              </w:rPr>
            </w:pPr>
          </w:p>
        </w:tc>
        <w:tc>
          <w:tcPr>
            <w:tcW w:w="730" w:type="dxa"/>
          </w:tcPr>
          <w:p w14:paraId="4591DFE3" w14:textId="77777777" w:rsidR="00EA42CC" w:rsidRPr="003D4CD8" w:rsidRDefault="00EA42CC" w:rsidP="00064D62">
            <w:pPr>
              <w:rPr>
                <w:rFonts w:ascii="Calibri" w:hAnsi="Calibri" w:cs="Calibri"/>
                <w:sz w:val="24"/>
                <w:szCs w:val="24"/>
              </w:rPr>
            </w:pPr>
          </w:p>
        </w:tc>
        <w:tc>
          <w:tcPr>
            <w:tcW w:w="629" w:type="dxa"/>
          </w:tcPr>
          <w:p w14:paraId="0846E9D9" w14:textId="77777777" w:rsidR="00EA42CC" w:rsidRPr="003D4CD8" w:rsidRDefault="00EA42CC" w:rsidP="00064D62">
            <w:pPr>
              <w:rPr>
                <w:rFonts w:ascii="Calibri" w:hAnsi="Calibri" w:cs="Calibri"/>
                <w:sz w:val="24"/>
                <w:szCs w:val="24"/>
              </w:rPr>
            </w:pPr>
          </w:p>
        </w:tc>
        <w:tc>
          <w:tcPr>
            <w:tcW w:w="846" w:type="dxa"/>
          </w:tcPr>
          <w:p w14:paraId="2385F044" w14:textId="77777777" w:rsidR="00EA42CC" w:rsidRPr="003D4CD8" w:rsidRDefault="00EA42CC" w:rsidP="00064D62">
            <w:pPr>
              <w:rPr>
                <w:rFonts w:ascii="Calibri" w:hAnsi="Calibri" w:cs="Calibri"/>
                <w:sz w:val="24"/>
                <w:szCs w:val="24"/>
              </w:rPr>
            </w:pPr>
          </w:p>
        </w:tc>
      </w:tr>
      <w:tr w:rsidR="00EA42CC" w:rsidRPr="003D4CD8" w14:paraId="4D3BB608" w14:textId="77777777" w:rsidTr="00396C5D">
        <w:tc>
          <w:tcPr>
            <w:tcW w:w="6194" w:type="dxa"/>
          </w:tcPr>
          <w:p w14:paraId="32DA493D" w14:textId="77777777" w:rsidR="00EA42CC" w:rsidRPr="003D4CD8" w:rsidRDefault="00EA42CC" w:rsidP="00064D62">
            <w:pPr>
              <w:rPr>
                <w:rFonts w:ascii="Calibri" w:hAnsi="Calibri" w:cs="Calibri"/>
                <w:sz w:val="24"/>
                <w:szCs w:val="24"/>
              </w:rPr>
            </w:pPr>
            <w:r w:rsidRPr="003D4CD8">
              <w:rPr>
                <w:rFonts w:ascii="Calibri" w:hAnsi="Calibri" w:cs="Calibri"/>
                <w:sz w:val="24"/>
                <w:szCs w:val="24"/>
              </w:rPr>
              <w:t>Beskatningsgrundlag (En form for gennemsnitlig indkomst pr indbygger – jo højere indkomst, des mere skat får kommunen ind)</w:t>
            </w:r>
          </w:p>
        </w:tc>
        <w:tc>
          <w:tcPr>
            <w:tcW w:w="660" w:type="dxa"/>
          </w:tcPr>
          <w:p w14:paraId="7B388971" w14:textId="77777777" w:rsidR="00EA42CC" w:rsidRPr="003D4CD8" w:rsidRDefault="00EA42CC" w:rsidP="00064D62">
            <w:pPr>
              <w:rPr>
                <w:rFonts w:ascii="Calibri" w:hAnsi="Calibri" w:cs="Calibri"/>
                <w:sz w:val="24"/>
                <w:szCs w:val="24"/>
              </w:rPr>
            </w:pPr>
          </w:p>
        </w:tc>
        <w:tc>
          <w:tcPr>
            <w:tcW w:w="488" w:type="dxa"/>
          </w:tcPr>
          <w:p w14:paraId="42FD9D8D" w14:textId="77777777" w:rsidR="00EA42CC" w:rsidRPr="003D4CD8" w:rsidRDefault="00EA42CC" w:rsidP="00064D62">
            <w:pPr>
              <w:rPr>
                <w:rFonts w:ascii="Calibri" w:hAnsi="Calibri" w:cs="Calibri"/>
                <w:sz w:val="24"/>
                <w:szCs w:val="24"/>
              </w:rPr>
            </w:pPr>
          </w:p>
        </w:tc>
        <w:tc>
          <w:tcPr>
            <w:tcW w:w="730" w:type="dxa"/>
          </w:tcPr>
          <w:p w14:paraId="1691FA79" w14:textId="77777777" w:rsidR="00EA42CC" w:rsidRPr="003D4CD8" w:rsidRDefault="00EA42CC" w:rsidP="00064D62">
            <w:pPr>
              <w:rPr>
                <w:rFonts w:ascii="Calibri" w:hAnsi="Calibri" w:cs="Calibri"/>
                <w:sz w:val="24"/>
                <w:szCs w:val="24"/>
              </w:rPr>
            </w:pPr>
          </w:p>
        </w:tc>
        <w:tc>
          <w:tcPr>
            <w:tcW w:w="629" w:type="dxa"/>
          </w:tcPr>
          <w:p w14:paraId="7942BC09" w14:textId="77777777" w:rsidR="00EA42CC" w:rsidRPr="003D4CD8" w:rsidRDefault="00EA42CC" w:rsidP="00064D62">
            <w:pPr>
              <w:rPr>
                <w:rFonts w:ascii="Calibri" w:hAnsi="Calibri" w:cs="Calibri"/>
                <w:sz w:val="24"/>
                <w:szCs w:val="24"/>
              </w:rPr>
            </w:pPr>
          </w:p>
        </w:tc>
        <w:tc>
          <w:tcPr>
            <w:tcW w:w="846" w:type="dxa"/>
          </w:tcPr>
          <w:p w14:paraId="10349B6F" w14:textId="77777777" w:rsidR="00EA42CC" w:rsidRPr="003D4CD8" w:rsidRDefault="00EA42CC" w:rsidP="00064D62">
            <w:pPr>
              <w:rPr>
                <w:rFonts w:ascii="Calibri" w:hAnsi="Calibri" w:cs="Calibri"/>
                <w:sz w:val="24"/>
                <w:szCs w:val="24"/>
              </w:rPr>
            </w:pPr>
          </w:p>
        </w:tc>
      </w:tr>
    </w:tbl>
    <w:p w14:paraId="06C34067" w14:textId="77777777" w:rsidR="00EA42CC" w:rsidRPr="003D4CD8" w:rsidRDefault="00EA42CC" w:rsidP="00EA42CC">
      <w:pPr>
        <w:rPr>
          <w:rFonts w:ascii="Calibri" w:hAnsi="Calibri" w:cs="Calibri"/>
          <w:sz w:val="24"/>
          <w:szCs w:val="24"/>
        </w:rPr>
      </w:pPr>
    </w:p>
    <w:p w14:paraId="66CD1C34" w14:textId="12EAC5F9" w:rsidR="003D4CD8" w:rsidRDefault="007E56ED" w:rsidP="00063805">
      <w:pPr>
        <w:pStyle w:val="NormalWeb"/>
        <w:numPr>
          <w:ilvl w:val="0"/>
          <w:numId w:val="2"/>
        </w:numPr>
        <w:shd w:val="clear" w:color="auto" w:fill="FDFDF9"/>
        <w:spacing w:before="0" w:beforeAutospacing="0" w:after="0" w:afterAutospacing="0"/>
        <w:rPr>
          <w:rFonts w:ascii="Calibri" w:hAnsi="Calibri" w:cs="Calibri"/>
        </w:rPr>
      </w:pPr>
      <w:r>
        <w:rPr>
          <w:rFonts w:ascii="Calibri" w:hAnsi="Calibri" w:cs="Calibri"/>
        </w:rPr>
        <w:t xml:space="preserve">Evt. </w:t>
      </w:r>
      <w:r w:rsidR="00063805" w:rsidRPr="003D4CD8">
        <w:rPr>
          <w:rFonts w:ascii="Calibri" w:hAnsi="Calibri" w:cs="Calibri"/>
        </w:rPr>
        <w:t xml:space="preserve">Klip fra ”Send regningen til Gentofte” </w:t>
      </w:r>
    </w:p>
    <w:p w14:paraId="53FA961D" w14:textId="77777777" w:rsidR="003D4CD8" w:rsidRPr="003D4CD8" w:rsidRDefault="00063805" w:rsidP="00396C5D">
      <w:pPr>
        <w:pStyle w:val="NormalWeb"/>
        <w:numPr>
          <w:ilvl w:val="1"/>
          <w:numId w:val="2"/>
        </w:numPr>
        <w:shd w:val="clear" w:color="auto" w:fill="FDFDF9"/>
        <w:spacing w:before="0" w:beforeAutospacing="0" w:after="0" w:afterAutospacing="0"/>
        <w:rPr>
          <w:rFonts w:ascii="Calibri" w:hAnsi="Calibri" w:cs="Calibri"/>
        </w:rPr>
      </w:pPr>
      <w:r w:rsidRPr="003D4CD8">
        <w:rPr>
          <w:rFonts w:ascii="Calibri" w:hAnsi="Calibri" w:cs="Calibri"/>
          <w:color w:val="666666"/>
        </w:rPr>
        <w:t xml:space="preserve">Hvilke argumenter for og imod øget udligning </w:t>
      </w:r>
      <w:proofErr w:type="spellStart"/>
      <w:r w:rsidRPr="003D4CD8">
        <w:rPr>
          <w:rFonts w:ascii="Calibri" w:hAnsi="Calibri" w:cs="Calibri"/>
          <w:color w:val="666666"/>
        </w:rPr>
        <w:t>anføres?</w:t>
      </w:r>
      <w:proofErr w:type="spellEnd"/>
    </w:p>
    <w:p w14:paraId="6A269ABC" w14:textId="4AEB792E" w:rsidR="00396C5D" w:rsidRPr="003D4CD8" w:rsidRDefault="00814424" w:rsidP="003D4CD8">
      <w:pPr>
        <w:pStyle w:val="NormalWeb"/>
        <w:numPr>
          <w:ilvl w:val="1"/>
          <w:numId w:val="2"/>
        </w:numPr>
        <w:shd w:val="clear" w:color="auto" w:fill="FDFDF9"/>
        <w:spacing w:before="0" w:beforeAutospacing="0" w:after="0" w:afterAutospacing="0"/>
        <w:rPr>
          <w:rFonts w:ascii="Calibri" w:hAnsi="Calibri" w:cs="Calibri"/>
        </w:rPr>
      </w:pPr>
      <w:r w:rsidRPr="003D4CD8">
        <w:rPr>
          <w:rFonts w:ascii="Calibri" w:hAnsi="Calibri" w:cs="Calibri"/>
        </w:rPr>
        <w:lastRenderedPageBreak/>
        <w:t>Land</w:t>
      </w:r>
      <w:r w:rsidR="003D4CD8">
        <w:rPr>
          <w:rFonts w:ascii="Calibri" w:hAnsi="Calibri" w:cs="Calibri"/>
        </w:rPr>
        <w:t>/</w:t>
      </w:r>
      <w:r w:rsidRPr="003D4CD8">
        <w:rPr>
          <w:rFonts w:ascii="Calibri" w:hAnsi="Calibri" w:cs="Calibri"/>
        </w:rPr>
        <w:t>by som politisk skillelinj</w:t>
      </w:r>
      <w:r w:rsidR="003D4CD8">
        <w:rPr>
          <w:rFonts w:ascii="Calibri" w:hAnsi="Calibri" w:cs="Calibri"/>
        </w:rPr>
        <w:t xml:space="preserve">e? Diskuter </w:t>
      </w:r>
      <w:r w:rsidR="00396C5D" w:rsidRPr="003D4CD8">
        <w:rPr>
          <w:rFonts w:ascii="Calibri" w:hAnsi="Calibri" w:cs="Calibri"/>
        </w:rPr>
        <w:t xml:space="preserve">med udgangspunkt i </w:t>
      </w:r>
      <w:proofErr w:type="spellStart"/>
      <w:r w:rsidR="00396C5D" w:rsidRPr="003D4CD8">
        <w:rPr>
          <w:rFonts w:ascii="Calibri" w:hAnsi="Calibri" w:cs="Calibri"/>
        </w:rPr>
        <w:t>Bartolini</w:t>
      </w:r>
      <w:proofErr w:type="spellEnd"/>
      <w:r w:rsidR="00396C5D" w:rsidRPr="003D4CD8">
        <w:rPr>
          <w:rFonts w:ascii="Calibri" w:hAnsi="Calibri" w:cs="Calibri"/>
        </w:rPr>
        <w:t xml:space="preserve"> og </w:t>
      </w:r>
      <w:proofErr w:type="spellStart"/>
      <w:r w:rsidR="00396C5D" w:rsidRPr="003D4CD8">
        <w:rPr>
          <w:rFonts w:ascii="Calibri" w:hAnsi="Calibri" w:cs="Calibri"/>
        </w:rPr>
        <w:t>Mairs</w:t>
      </w:r>
      <w:proofErr w:type="spellEnd"/>
      <w:r w:rsidR="00396C5D" w:rsidRPr="003D4CD8">
        <w:rPr>
          <w:rFonts w:ascii="Calibri" w:hAnsi="Calibri" w:cs="Calibri"/>
        </w:rPr>
        <w:t xml:space="preserve"> kriterier (fig. 4.2 s. 81) i hvilket omfang land-by opdelingen kan siges at være en ny skillelinje</w:t>
      </w:r>
    </w:p>
    <w:p w14:paraId="660B186E" w14:textId="77777777" w:rsidR="00396C5D" w:rsidRPr="003D4CD8" w:rsidRDefault="00396C5D" w:rsidP="00396C5D">
      <w:pPr>
        <w:pStyle w:val="Listeafsnit"/>
        <w:ind w:left="2160"/>
        <w:rPr>
          <w:rFonts w:ascii="Calibri" w:hAnsi="Calibri" w:cs="Calibri"/>
        </w:rPr>
      </w:pPr>
    </w:p>
    <w:p w14:paraId="63E88441" w14:textId="77777777" w:rsidR="00396C5D" w:rsidRPr="003D4CD8" w:rsidRDefault="00396C5D" w:rsidP="00396C5D">
      <w:pPr>
        <w:pStyle w:val="NormalWeb"/>
        <w:shd w:val="clear" w:color="auto" w:fill="FDFDF9"/>
        <w:spacing w:before="0" w:beforeAutospacing="0" w:after="0" w:afterAutospacing="0"/>
        <w:rPr>
          <w:rFonts w:ascii="Calibri" w:hAnsi="Calibri" w:cs="Calibri"/>
          <w:color w:val="666666"/>
        </w:rPr>
      </w:pPr>
    </w:p>
    <w:p w14:paraId="5FCC7820" w14:textId="7222F76E" w:rsidR="007E56ED" w:rsidRDefault="007E56ED" w:rsidP="00063805">
      <w:pPr>
        <w:pStyle w:val="Listeafsnit"/>
        <w:numPr>
          <w:ilvl w:val="0"/>
          <w:numId w:val="2"/>
        </w:numPr>
        <w:rPr>
          <w:rFonts w:ascii="Calibri" w:hAnsi="Calibri" w:cs="Calibri"/>
          <w:sz w:val="24"/>
          <w:szCs w:val="24"/>
        </w:rPr>
      </w:pPr>
      <w:r>
        <w:rPr>
          <w:rFonts w:ascii="Calibri" w:hAnsi="Calibri" w:cs="Calibri"/>
          <w:sz w:val="24"/>
          <w:szCs w:val="24"/>
        </w:rPr>
        <w:t xml:space="preserve">Budgetlov og det kommunale selvstyre. Nedenstående stammer fra Byrådet, 2. udgave. </w:t>
      </w:r>
    </w:p>
    <w:p w14:paraId="60CC5FD2" w14:textId="0F5F8DB8" w:rsidR="00814424" w:rsidRPr="007E56ED" w:rsidRDefault="007E56ED" w:rsidP="007E56ED">
      <w:pPr>
        <w:ind w:left="360"/>
        <w:rPr>
          <w:rFonts w:ascii="Calibri" w:hAnsi="Calibri" w:cs="Calibri"/>
          <w:sz w:val="24"/>
          <w:szCs w:val="24"/>
        </w:rPr>
      </w:pPr>
      <w:r w:rsidRPr="007E56ED">
        <w:rPr>
          <w:rFonts w:ascii="Calibri" w:hAnsi="Calibri" w:cs="Calibri"/>
          <w:sz w:val="24"/>
          <w:szCs w:val="24"/>
        </w:rPr>
        <w:t xml:space="preserve"> </w:t>
      </w:r>
    </w:p>
    <w:p w14:paraId="5A5F33E8" w14:textId="77777777" w:rsidR="004C2227" w:rsidRPr="004C2227" w:rsidRDefault="004C2227" w:rsidP="007E56ED">
      <w:pPr>
        <w:pStyle w:val="Listeafsnit"/>
        <w:spacing w:after="0" w:line="240" w:lineRule="auto"/>
        <w:outlineLvl w:val="2"/>
        <w:rPr>
          <w:rFonts w:ascii="var(--font-title)" w:eastAsia="Times New Roman" w:hAnsi="var(--font-title)" w:cs="Noto Sans"/>
          <w:b/>
          <w:bCs/>
          <w:color w:val="333333"/>
          <w:sz w:val="27"/>
          <w:szCs w:val="27"/>
          <w:lang w:eastAsia="da-DK"/>
        </w:rPr>
      </w:pPr>
      <w:r w:rsidRPr="004C2227">
        <w:rPr>
          <w:rFonts w:ascii="var(--font-title)" w:eastAsia="Times New Roman" w:hAnsi="var(--font-title)" w:cs="Noto Sans"/>
          <w:b/>
          <w:bCs/>
          <w:color w:val="333333"/>
          <w:sz w:val="27"/>
          <w:szCs w:val="27"/>
          <w:lang w:eastAsia="da-DK"/>
        </w:rPr>
        <w:t>Boks 9.1. Sanktion ved samlet skattestigning i kommunerne</w:t>
      </w:r>
    </w:p>
    <w:p w14:paraId="11571F6E" w14:textId="77777777" w:rsidR="004C2227" w:rsidRPr="004C2227" w:rsidRDefault="004C2227" w:rsidP="007E56ED">
      <w:pPr>
        <w:pStyle w:val="Listeafsnit"/>
        <w:spacing w:before="100" w:beforeAutospacing="1" w:after="100" w:afterAutospacing="1" w:line="240" w:lineRule="auto"/>
        <w:rPr>
          <w:rFonts w:ascii="var(--font-content)" w:eastAsia="Times New Roman" w:hAnsi="var(--font-content)" w:cs="Noto Sans"/>
          <w:color w:val="333333"/>
          <w:sz w:val="26"/>
          <w:szCs w:val="26"/>
          <w:lang w:eastAsia="da-DK"/>
        </w:rPr>
      </w:pPr>
      <w:r w:rsidRPr="004C2227">
        <w:rPr>
          <w:rFonts w:ascii="var(--font-content)" w:eastAsia="Times New Roman" w:hAnsi="var(--font-content)" w:cs="Noto Sans"/>
          <w:color w:val="333333"/>
          <w:sz w:val="26"/>
          <w:szCs w:val="26"/>
          <w:lang w:eastAsia="da-DK"/>
        </w:rPr>
        <w:t>I den årlige aftale imellem kommunerne (KL) og Finansministeriet aftales kommunernes økonomi for det kommende år. Kommunerne skal enkeltvis søge staten om at få lov til at gennemføre en skattestigning. Og kun hvis regnestykket går op, og skattestigningerne i kommunerne samlet set er lavere end skattestigningerne, gives der lov til en „gratis" skattestigning.</w:t>
      </w:r>
    </w:p>
    <w:p w14:paraId="565D71C3" w14:textId="77777777" w:rsidR="004C2227" w:rsidRPr="004C2227" w:rsidRDefault="004C2227" w:rsidP="007E56ED">
      <w:pPr>
        <w:pStyle w:val="Listeafsnit"/>
        <w:spacing w:before="100" w:beforeAutospacing="1" w:after="100" w:afterAutospacing="1" w:line="240" w:lineRule="auto"/>
        <w:rPr>
          <w:rFonts w:ascii="var(--font-content)" w:eastAsia="Times New Roman" w:hAnsi="var(--font-content)" w:cs="Noto Sans"/>
          <w:color w:val="333333"/>
          <w:sz w:val="26"/>
          <w:szCs w:val="26"/>
          <w:lang w:eastAsia="da-DK"/>
        </w:rPr>
      </w:pPr>
      <w:r w:rsidRPr="004C2227">
        <w:rPr>
          <w:rFonts w:ascii="var(--font-content)" w:eastAsia="Times New Roman" w:hAnsi="var(--font-content)" w:cs="Noto Sans"/>
          <w:color w:val="333333"/>
          <w:sz w:val="26"/>
          <w:szCs w:val="26"/>
          <w:lang w:eastAsia="da-DK"/>
        </w:rPr>
        <w:t xml:space="preserve">Hvis </w:t>
      </w:r>
      <w:proofErr w:type="gramStart"/>
      <w:r w:rsidRPr="004C2227">
        <w:rPr>
          <w:rFonts w:ascii="var(--font-content)" w:eastAsia="Times New Roman" w:hAnsi="var(--font-content)" w:cs="Noto Sans"/>
          <w:color w:val="333333"/>
          <w:sz w:val="26"/>
          <w:szCs w:val="26"/>
          <w:lang w:eastAsia="da-DK"/>
        </w:rPr>
        <w:t>en kommunen</w:t>
      </w:r>
      <w:proofErr w:type="gramEnd"/>
      <w:r w:rsidRPr="004C2227">
        <w:rPr>
          <w:rFonts w:ascii="var(--font-content)" w:eastAsia="Times New Roman" w:hAnsi="var(--font-content)" w:cs="Noto Sans"/>
          <w:color w:val="333333"/>
          <w:sz w:val="26"/>
          <w:szCs w:val="26"/>
          <w:lang w:eastAsia="da-DK"/>
        </w:rPr>
        <w:t xml:space="preserve"> vælger at lave en „ikke-godkendt" skattestigning, vil kommunen blive ramt af en sanktion, som betyder, at skattestigningsprovenuet først kommer kommunen fuldt til gode efter fem år. Det første år efter den ikke-godkendte skattestigning vil kommunen skulle betale 75 procent af provenuet til staten. Andet og tredje år skal kommunen betale 50 procent af provenuet, og fjerde år skal kommunen betale 25 procent af provenuet. Først det femte år efter en skattestigning får kommunen fuldt og helt del i provenuet ved skattestigningen. Eksemplet nedenfor belyser sanktionsmetoden.</w:t>
      </w:r>
    </w:p>
    <w:p w14:paraId="59E22586" w14:textId="77777777" w:rsidR="004C2227" w:rsidRPr="004C2227" w:rsidRDefault="004C2227" w:rsidP="007E56ED">
      <w:pPr>
        <w:pStyle w:val="Listeafsnit"/>
        <w:spacing w:before="100" w:beforeAutospacing="1" w:after="100" w:afterAutospacing="1" w:line="240" w:lineRule="auto"/>
        <w:rPr>
          <w:rFonts w:ascii="var(--font-content)" w:eastAsia="Times New Roman" w:hAnsi="var(--font-content)" w:cs="Noto Sans"/>
          <w:color w:val="333333"/>
          <w:sz w:val="26"/>
          <w:szCs w:val="26"/>
          <w:lang w:eastAsia="da-DK"/>
        </w:rPr>
      </w:pPr>
      <w:r w:rsidRPr="004C2227">
        <w:rPr>
          <w:rFonts w:ascii="var(--font-content)" w:eastAsia="Times New Roman" w:hAnsi="var(--font-content)" w:cs="Noto Sans"/>
          <w:color w:val="333333"/>
          <w:sz w:val="26"/>
          <w:szCs w:val="26"/>
          <w:lang w:eastAsia="da-DK"/>
        </w:rPr>
        <w:t xml:space="preserve">Ud over denne individuelle sanktion imod kommunen rammes kommunerne under ét også af en kollektiv sanktion, </w:t>
      </w:r>
      <w:proofErr w:type="gramStart"/>
      <w:r w:rsidRPr="004C2227">
        <w:rPr>
          <w:rFonts w:ascii="var(--font-content)" w:eastAsia="Times New Roman" w:hAnsi="var(--font-content)" w:cs="Noto Sans"/>
          <w:color w:val="333333"/>
          <w:sz w:val="26"/>
          <w:szCs w:val="26"/>
          <w:lang w:eastAsia="da-DK"/>
        </w:rPr>
        <w:t>således at</w:t>
      </w:r>
      <w:proofErr w:type="gramEnd"/>
      <w:r w:rsidRPr="004C2227">
        <w:rPr>
          <w:rFonts w:ascii="var(--font-content)" w:eastAsia="Times New Roman" w:hAnsi="var(--font-content)" w:cs="Noto Sans"/>
          <w:color w:val="333333"/>
          <w:sz w:val="26"/>
          <w:szCs w:val="26"/>
          <w:lang w:eastAsia="da-DK"/>
        </w:rPr>
        <w:t xml:space="preserve"> det skatteprovenu, som kommunen trods alt opnår, skal betales af de resterende kommuner. Det gør staten ved at sænke bloktilskuddet samlet set til de resterende kommuner.</w:t>
      </w:r>
    </w:p>
    <w:p w14:paraId="53C65DCB" w14:textId="77777777" w:rsidR="004C2227" w:rsidRPr="004C2227" w:rsidRDefault="004C2227" w:rsidP="007E56ED">
      <w:pPr>
        <w:pStyle w:val="Listeafsnit"/>
        <w:spacing w:after="0" w:line="240" w:lineRule="auto"/>
        <w:rPr>
          <w:rFonts w:ascii="var(--font-content)" w:eastAsia="Times New Roman" w:hAnsi="var(--font-content)" w:cs="Noto Sans"/>
          <w:color w:val="333333"/>
          <w:sz w:val="26"/>
          <w:szCs w:val="26"/>
          <w:lang w:eastAsia="da-DK"/>
        </w:rPr>
      </w:pPr>
      <w:r w:rsidRPr="004C2227">
        <w:rPr>
          <w:rFonts w:ascii="var(--font-content)" w:eastAsia="Times New Roman" w:hAnsi="var(--font-content)" w:cs="Noto Sans"/>
          <w:color w:val="333333"/>
          <w:sz w:val="26"/>
          <w:szCs w:val="26"/>
          <w:lang w:eastAsia="da-DK"/>
        </w:rPr>
        <w:t xml:space="preserve">På den måde kan man sige, at kommunerne formelt har ret til at sætte skatten op, men reelt er de underlagt et strengt sanktionssystem, der gør det </w:t>
      </w:r>
      <w:proofErr w:type="spellStart"/>
      <w:r w:rsidRPr="004C2227">
        <w:rPr>
          <w:rFonts w:ascii="var(--font-content)" w:eastAsia="Times New Roman" w:hAnsi="var(--font-content)" w:cs="Noto Sans"/>
          <w:color w:val="333333"/>
          <w:sz w:val="26"/>
          <w:szCs w:val="26"/>
          <w:lang w:eastAsia="da-DK"/>
        </w:rPr>
        <w:t>uattraktivt</w:t>
      </w:r>
      <w:proofErr w:type="spellEnd"/>
      <w:r w:rsidRPr="004C2227">
        <w:rPr>
          <w:rFonts w:ascii="var(--font-content)" w:eastAsia="Times New Roman" w:hAnsi="var(--font-content)" w:cs="Noto Sans"/>
          <w:color w:val="333333"/>
          <w:sz w:val="26"/>
          <w:szCs w:val="26"/>
          <w:lang w:eastAsia="da-DK"/>
        </w:rPr>
        <w:t xml:space="preserve"> at sætte skatten op, hvis ikke det er godkendt af staten.</w:t>
      </w:r>
    </w:p>
    <w:tbl>
      <w:tblPr>
        <w:tblW w:w="8910" w:type="dxa"/>
        <w:tblCellMar>
          <w:left w:w="0" w:type="dxa"/>
          <w:right w:w="0" w:type="dxa"/>
        </w:tblCellMar>
        <w:tblLook w:val="04A0" w:firstRow="1" w:lastRow="0" w:firstColumn="1" w:lastColumn="0" w:noHBand="0" w:noVBand="1"/>
      </w:tblPr>
      <w:tblGrid>
        <w:gridCol w:w="5830"/>
        <w:gridCol w:w="616"/>
        <w:gridCol w:w="616"/>
        <w:gridCol w:w="616"/>
        <w:gridCol w:w="616"/>
        <w:gridCol w:w="616"/>
      </w:tblGrid>
      <w:tr w:rsidR="004C2227" w:rsidRPr="004C2227" w14:paraId="41C78516" w14:textId="77777777">
        <w:trPr>
          <w:tblHeader/>
        </w:trPr>
        <w:tc>
          <w:tcPr>
            <w:tcW w:w="0" w:type="auto"/>
            <w:hideMark/>
          </w:tcPr>
          <w:p w14:paraId="7C0925F6" w14:textId="77777777" w:rsidR="004C2227" w:rsidRPr="004C2227" w:rsidRDefault="004C2227" w:rsidP="004C2227">
            <w:pPr>
              <w:spacing w:after="0" w:line="240" w:lineRule="auto"/>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Mio. kr.</w:t>
            </w:r>
          </w:p>
        </w:tc>
        <w:tc>
          <w:tcPr>
            <w:tcW w:w="0" w:type="auto"/>
            <w:hideMark/>
          </w:tcPr>
          <w:p w14:paraId="060239D1" w14:textId="77777777" w:rsidR="004C2227" w:rsidRPr="004C2227" w:rsidRDefault="004C2227" w:rsidP="004C2227">
            <w:pPr>
              <w:spacing w:after="0" w:line="240" w:lineRule="auto"/>
              <w:jc w:val="center"/>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2022</w:t>
            </w:r>
          </w:p>
        </w:tc>
        <w:tc>
          <w:tcPr>
            <w:tcW w:w="0" w:type="auto"/>
            <w:hideMark/>
          </w:tcPr>
          <w:p w14:paraId="1E70CC89" w14:textId="77777777" w:rsidR="004C2227" w:rsidRPr="004C2227" w:rsidRDefault="004C2227" w:rsidP="004C2227">
            <w:pPr>
              <w:spacing w:after="0" w:line="240" w:lineRule="auto"/>
              <w:jc w:val="center"/>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2023</w:t>
            </w:r>
          </w:p>
        </w:tc>
        <w:tc>
          <w:tcPr>
            <w:tcW w:w="0" w:type="auto"/>
            <w:hideMark/>
          </w:tcPr>
          <w:p w14:paraId="686373CA" w14:textId="77777777" w:rsidR="004C2227" w:rsidRPr="004C2227" w:rsidRDefault="004C2227" w:rsidP="004C2227">
            <w:pPr>
              <w:spacing w:after="0" w:line="240" w:lineRule="auto"/>
              <w:jc w:val="center"/>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2024</w:t>
            </w:r>
          </w:p>
        </w:tc>
        <w:tc>
          <w:tcPr>
            <w:tcW w:w="0" w:type="auto"/>
            <w:hideMark/>
          </w:tcPr>
          <w:p w14:paraId="4A5E0C49" w14:textId="77777777" w:rsidR="004C2227" w:rsidRPr="004C2227" w:rsidRDefault="004C2227" w:rsidP="004C2227">
            <w:pPr>
              <w:spacing w:after="0" w:line="240" w:lineRule="auto"/>
              <w:jc w:val="center"/>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2025</w:t>
            </w:r>
          </w:p>
        </w:tc>
        <w:tc>
          <w:tcPr>
            <w:tcW w:w="0" w:type="auto"/>
            <w:hideMark/>
          </w:tcPr>
          <w:p w14:paraId="150A28AF" w14:textId="77777777" w:rsidR="004C2227" w:rsidRPr="004C2227" w:rsidRDefault="004C2227" w:rsidP="004C2227">
            <w:pPr>
              <w:spacing w:after="0" w:line="240" w:lineRule="auto"/>
              <w:jc w:val="center"/>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2026</w:t>
            </w:r>
          </w:p>
        </w:tc>
      </w:tr>
      <w:tr w:rsidR="004C2227" w:rsidRPr="004C2227" w14:paraId="0F1E8129" w14:textId="77777777">
        <w:tc>
          <w:tcPr>
            <w:tcW w:w="0" w:type="auto"/>
            <w:hideMark/>
          </w:tcPr>
          <w:p w14:paraId="1E4969B9" w14:textId="77777777" w:rsidR="004C2227" w:rsidRPr="004C2227" w:rsidRDefault="004C2227" w:rsidP="004C2227">
            <w:pPr>
              <w:spacing w:after="0" w:line="240" w:lineRule="auto"/>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Skatteprovenu før sanktion</w:t>
            </w:r>
          </w:p>
        </w:tc>
        <w:tc>
          <w:tcPr>
            <w:tcW w:w="0" w:type="auto"/>
            <w:hideMark/>
          </w:tcPr>
          <w:p w14:paraId="016991B0"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100</w:t>
            </w:r>
          </w:p>
        </w:tc>
        <w:tc>
          <w:tcPr>
            <w:tcW w:w="0" w:type="auto"/>
            <w:hideMark/>
          </w:tcPr>
          <w:p w14:paraId="4A06B83F"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100</w:t>
            </w:r>
          </w:p>
        </w:tc>
        <w:tc>
          <w:tcPr>
            <w:tcW w:w="0" w:type="auto"/>
            <w:hideMark/>
          </w:tcPr>
          <w:p w14:paraId="7ED72246"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100</w:t>
            </w:r>
          </w:p>
        </w:tc>
        <w:tc>
          <w:tcPr>
            <w:tcW w:w="0" w:type="auto"/>
            <w:hideMark/>
          </w:tcPr>
          <w:p w14:paraId="1E4AD77C"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100</w:t>
            </w:r>
          </w:p>
        </w:tc>
        <w:tc>
          <w:tcPr>
            <w:tcW w:w="0" w:type="auto"/>
            <w:hideMark/>
          </w:tcPr>
          <w:p w14:paraId="383973DC"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100</w:t>
            </w:r>
          </w:p>
        </w:tc>
      </w:tr>
      <w:tr w:rsidR="004C2227" w:rsidRPr="004C2227" w14:paraId="48CD1BA0" w14:textId="77777777">
        <w:tc>
          <w:tcPr>
            <w:tcW w:w="0" w:type="auto"/>
            <w:hideMark/>
          </w:tcPr>
          <w:p w14:paraId="204DCB40" w14:textId="77777777" w:rsidR="004C2227" w:rsidRPr="004C2227" w:rsidRDefault="004C2227" w:rsidP="004C2227">
            <w:pPr>
              <w:spacing w:after="0" w:line="240" w:lineRule="auto"/>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Sanktion</w:t>
            </w:r>
          </w:p>
        </w:tc>
        <w:tc>
          <w:tcPr>
            <w:tcW w:w="0" w:type="auto"/>
            <w:hideMark/>
          </w:tcPr>
          <w:p w14:paraId="637B296B"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75</w:t>
            </w:r>
          </w:p>
        </w:tc>
        <w:tc>
          <w:tcPr>
            <w:tcW w:w="0" w:type="auto"/>
            <w:hideMark/>
          </w:tcPr>
          <w:p w14:paraId="06F0DF8B"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50</w:t>
            </w:r>
          </w:p>
        </w:tc>
        <w:tc>
          <w:tcPr>
            <w:tcW w:w="0" w:type="auto"/>
            <w:hideMark/>
          </w:tcPr>
          <w:p w14:paraId="61BC79A9"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50</w:t>
            </w:r>
          </w:p>
        </w:tc>
        <w:tc>
          <w:tcPr>
            <w:tcW w:w="0" w:type="auto"/>
            <w:hideMark/>
          </w:tcPr>
          <w:p w14:paraId="16944202"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25</w:t>
            </w:r>
          </w:p>
        </w:tc>
        <w:tc>
          <w:tcPr>
            <w:tcW w:w="0" w:type="auto"/>
            <w:hideMark/>
          </w:tcPr>
          <w:p w14:paraId="50B4F2A2"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0</w:t>
            </w:r>
          </w:p>
        </w:tc>
      </w:tr>
      <w:tr w:rsidR="004C2227" w:rsidRPr="004C2227" w14:paraId="15062CEB" w14:textId="77777777">
        <w:tc>
          <w:tcPr>
            <w:tcW w:w="0" w:type="auto"/>
            <w:hideMark/>
          </w:tcPr>
          <w:p w14:paraId="7FA99CBE" w14:textId="77777777" w:rsidR="004C2227" w:rsidRPr="004C2227" w:rsidRDefault="004C2227" w:rsidP="004C2227">
            <w:pPr>
              <w:spacing w:after="0" w:line="240" w:lineRule="auto"/>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Skatteprovenu efter sanktion</w:t>
            </w:r>
          </w:p>
        </w:tc>
        <w:tc>
          <w:tcPr>
            <w:tcW w:w="0" w:type="auto"/>
            <w:hideMark/>
          </w:tcPr>
          <w:p w14:paraId="28EF1A23"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25</w:t>
            </w:r>
          </w:p>
        </w:tc>
        <w:tc>
          <w:tcPr>
            <w:tcW w:w="0" w:type="auto"/>
            <w:hideMark/>
          </w:tcPr>
          <w:p w14:paraId="77CA86F4"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50</w:t>
            </w:r>
          </w:p>
        </w:tc>
        <w:tc>
          <w:tcPr>
            <w:tcW w:w="0" w:type="auto"/>
            <w:hideMark/>
          </w:tcPr>
          <w:p w14:paraId="2FA84177"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50</w:t>
            </w:r>
          </w:p>
        </w:tc>
        <w:tc>
          <w:tcPr>
            <w:tcW w:w="0" w:type="auto"/>
            <w:hideMark/>
          </w:tcPr>
          <w:p w14:paraId="64E4519D"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75</w:t>
            </w:r>
          </w:p>
        </w:tc>
        <w:tc>
          <w:tcPr>
            <w:tcW w:w="0" w:type="auto"/>
            <w:hideMark/>
          </w:tcPr>
          <w:p w14:paraId="261BD6A5"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100</w:t>
            </w:r>
          </w:p>
        </w:tc>
      </w:tr>
      <w:tr w:rsidR="004C2227" w:rsidRPr="004C2227" w14:paraId="309144A6" w14:textId="77777777">
        <w:tc>
          <w:tcPr>
            <w:tcW w:w="0" w:type="auto"/>
            <w:hideMark/>
          </w:tcPr>
          <w:p w14:paraId="28F5F6F5" w14:textId="77777777" w:rsidR="004C2227" w:rsidRPr="004C2227" w:rsidRDefault="004C2227" w:rsidP="004C2227">
            <w:pPr>
              <w:spacing w:after="0" w:line="240" w:lineRule="auto"/>
              <w:rPr>
                <w:rFonts w:ascii="var(--font-content)" w:eastAsia="Times New Roman" w:hAnsi="var(--font-content)" w:cs="Times New Roman"/>
                <w:b/>
                <w:bCs/>
                <w:sz w:val="21"/>
                <w:szCs w:val="21"/>
                <w:lang w:eastAsia="da-DK"/>
              </w:rPr>
            </w:pPr>
            <w:r w:rsidRPr="004C2227">
              <w:rPr>
                <w:rFonts w:ascii="var(--font-content)" w:eastAsia="Times New Roman" w:hAnsi="var(--font-content)" w:cs="Times New Roman"/>
                <w:b/>
                <w:bCs/>
                <w:sz w:val="21"/>
                <w:szCs w:val="21"/>
                <w:lang w:eastAsia="da-DK"/>
              </w:rPr>
              <w:t>Kollektiv sanktion imod alle kommuner under et</w:t>
            </w:r>
          </w:p>
        </w:tc>
        <w:tc>
          <w:tcPr>
            <w:tcW w:w="0" w:type="auto"/>
            <w:hideMark/>
          </w:tcPr>
          <w:p w14:paraId="7F0FE8B2"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25</w:t>
            </w:r>
          </w:p>
        </w:tc>
        <w:tc>
          <w:tcPr>
            <w:tcW w:w="0" w:type="auto"/>
            <w:hideMark/>
          </w:tcPr>
          <w:p w14:paraId="205EF0BF"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50</w:t>
            </w:r>
          </w:p>
        </w:tc>
        <w:tc>
          <w:tcPr>
            <w:tcW w:w="0" w:type="auto"/>
            <w:hideMark/>
          </w:tcPr>
          <w:p w14:paraId="7546A16E"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50</w:t>
            </w:r>
          </w:p>
        </w:tc>
        <w:tc>
          <w:tcPr>
            <w:tcW w:w="0" w:type="auto"/>
            <w:hideMark/>
          </w:tcPr>
          <w:p w14:paraId="31ABF531"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75</w:t>
            </w:r>
          </w:p>
        </w:tc>
        <w:tc>
          <w:tcPr>
            <w:tcW w:w="0" w:type="auto"/>
            <w:hideMark/>
          </w:tcPr>
          <w:p w14:paraId="2CEA38C9" w14:textId="77777777" w:rsidR="004C2227" w:rsidRPr="004C2227" w:rsidRDefault="004C2227" w:rsidP="004C2227">
            <w:pPr>
              <w:spacing w:after="0" w:line="240" w:lineRule="auto"/>
              <w:jc w:val="center"/>
              <w:rPr>
                <w:rFonts w:ascii="var(--font-content)" w:eastAsia="Times New Roman" w:hAnsi="var(--font-content)" w:cs="Times New Roman"/>
                <w:sz w:val="21"/>
                <w:szCs w:val="21"/>
                <w:lang w:eastAsia="da-DK"/>
              </w:rPr>
            </w:pPr>
            <w:r w:rsidRPr="004C2227">
              <w:rPr>
                <w:rFonts w:ascii="var(--font-content)" w:eastAsia="Times New Roman" w:hAnsi="var(--font-content)" w:cs="Times New Roman"/>
                <w:sz w:val="21"/>
                <w:szCs w:val="21"/>
                <w:lang w:eastAsia="da-DK"/>
              </w:rPr>
              <w:t>100</w:t>
            </w:r>
          </w:p>
        </w:tc>
      </w:tr>
    </w:tbl>
    <w:p w14:paraId="0D503D19" w14:textId="77777777" w:rsidR="004C2227" w:rsidRPr="003D4CD8" w:rsidRDefault="004C2227" w:rsidP="004C2227">
      <w:pPr>
        <w:pStyle w:val="Listeafsnit"/>
        <w:rPr>
          <w:rFonts w:ascii="Calibri" w:hAnsi="Calibri" w:cs="Calibri"/>
          <w:sz w:val="24"/>
          <w:szCs w:val="24"/>
        </w:rPr>
      </w:pPr>
    </w:p>
    <w:p w14:paraId="0F0FE90B" w14:textId="77777777" w:rsidR="00F32350" w:rsidRPr="003D4CD8" w:rsidRDefault="00F32350" w:rsidP="00EA42CC">
      <w:pPr>
        <w:rPr>
          <w:rFonts w:ascii="Calibri" w:hAnsi="Calibri" w:cs="Calibri"/>
          <w:sz w:val="24"/>
          <w:szCs w:val="24"/>
        </w:rPr>
      </w:pPr>
    </w:p>
    <w:p w14:paraId="59F5D3EE" w14:textId="77777777" w:rsidR="00EA42CC" w:rsidRPr="003D4CD8" w:rsidRDefault="00EA42CC" w:rsidP="00EA42CC">
      <w:pPr>
        <w:rPr>
          <w:rFonts w:ascii="Calibri" w:hAnsi="Calibri" w:cs="Calibri"/>
          <w:sz w:val="24"/>
          <w:szCs w:val="24"/>
        </w:rPr>
      </w:pPr>
    </w:p>
    <w:p w14:paraId="46D02F45" w14:textId="77777777" w:rsidR="00EA42CC" w:rsidRPr="003D4CD8" w:rsidRDefault="00EA42CC" w:rsidP="00EA42CC">
      <w:pPr>
        <w:rPr>
          <w:rFonts w:ascii="Calibri" w:hAnsi="Calibri" w:cs="Calibri"/>
          <w:sz w:val="24"/>
          <w:szCs w:val="24"/>
        </w:rPr>
      </w:pPr>
    </w:p>
    <w:p w14:paraId="3BB253CA" w14:textId="77777777" w:rsidR="00EA42CC" w:rsidRPr="003D4CD8" w:rsidRDefault="00EA42CC" w:rsidP="00EA42CC">
      <w:pPr>
        <w:rPr>
          <w:rFonts w:ascii="Calibri" w:hAnsi="Calibri" w:cs="Calibri"/>
          <w:sz w:val="24"/>
          <w:szCs w:val="24"/>
        </w:rPr>
      </w:pPr>
    </w:p>
    <w:p w14:paraId="43455189" w14:textId="77777777" w:rsidR="00EA42CC" w:rsidRPr="003D4CD8" w:rsidRDefault="00EA42CC" w:rsidP="00EA42CC">
      <w:pPr>
        <w:rPr>
          <w:rFonts w:ascii="Calibri" w:hAnsi="Calibri" w:cs="Calibri"/>
          <w:sz w:val="24"/>
          <w:szCs w:val="24"/>
        </w:rPr>
      </w:pPr>
    </w:p>
    <w:p w14:paraId="3E5EACCA" w14:textId="399779EF" w:rsidR="00F64E8A" w:rsidRPr="003D4CD8" w:rsidRDefault="00F64E8A" w:rsidP="00EA42CC">
      <w:pPr>
        <w:rPr>
          <w:rFonts w:ascii="Calibri" w:hAnsi="Calibri" w:cs="Calibri"/>
          <w:sz w:val="24"/>
          <w:szCs w:val="24"/>
        </w:rPr>
      </w:pPr>
    </w:p>
    <w:sectPr w:rsidR="00F64E8A" w:rsidRPr="003D4C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C42"/>
    <w:multiLevelType w:val="hybridMultilevel"/>
    <w:tmpl w:val="72AEFAB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4266FFC"/>
    <w:multiLevelType w:val="hybridMultilevel"/>
    <w:tmpl w:val="AD4845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7FF50A5"/>
    <w:multiLevelType w:val="hybridMultilevel"/>
    <w:tmpl w:val="0352D4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82938710">
    <w:abstractNumId w:val="2"/>
  </w:num>
  <w:num w:numId="2" w16cid:durableId="1633369272">
    <w:abstractNumId w:val="1"/>
  </w:num>
  <w:num w:numId="3" w16cid:durableId="89404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CC"/>
    <w:rsid w:val="00063805"/>
    <w:rsid w:val="000D6227"/>
    <w:rsid w:val="00396C5D"/>
    <w:rsid w:val="003C330F"/>
    <w:rsid w:val="003D4CD8"/>
    <w:rsid w:val="004C2227"/>
    <w:rsid w:val="007E56ED"/>
    <w:rsid w:val="00814424"/>
    <w:rsid w:val="00D47772"/>
    <w:rsid w:val="00EA42CC"/>
    <w:rsid w:val="00F32350"/>
    <w:rsid w:val="00F64E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996C28"/>
  <w15:chartTrackingRefBased/>
  <w15:docId w15:val="{34D4A53C-3D87-4F47-AB57-6AF89F19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CC"/>
    <w:pPr>
      <w:spacing w:after="160" w:line="259" w:lineRule="auto"/>
    </w:pPr>
    <w:rPr>
      <w:sz w:val="22"/>
      <w:szCs w:val="22"/>
    </w:rPr>
  </w:style>
  <w:style w:type="paragraph" w:styleId="Overskrift3">
    <w:name w:val="heading 3"/>
    <w:basedOn w:val="Normal"/>
    <w:link w:val="Overskrift3Tegn"/>
    <w:uiPriority w:val="9"/>
    <w:qFormat/>
    <w:rsid w:val="004C222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A42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EA42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A42CC"/>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EA42CC"/>
    <w:rPr>
      <w:color w:val="0563C1" w:themeColor="hyperlink"/>
      <w:u w:val="single"/>
    </w:rPr>
  </w:style>
  <w:style w:type="character" w:styleId="Ulstomtale">
    <w:name w:val="Unresolved Mention"/>
    <w:basedOn w:val="Standardskrifttypeiafsnit"/>
    <w:uiPriority w:val="99"/>
    <w:semiHidden/>
    <w:unhideWhenUsed/>
    <w:rsid w:val="00EA42CC"/>
    <w:rPr>
      <w:color w:val="605E5C"/>
      <w:shd w:val="clear" w:color="auto" w:fill="E1DFDD"/>
    </w:rPr>
  </w:style>
  <w:style w:type="character" w:styleId="BesgtLink">
    <w:name w:val="FollowedHyperlink"/>
    <w:basedOn w:val="Standardskrifttypeiafsnit"/>
    <w:uiPriority w:val="99"/>
    <w:semiHidden/>
    <w:unhideWhenUsed/>
    <w:rsid w:val="00F32350"/>
    <w:rPr>
      <w:color w:val="954F72" w:themeColor="followedHyperlink"/>
      <w:u w:val="single"/>
    </w:rPr>
  </w:style>
  <w:style w:type="paragraph" w:styleId="Listeafsnit">
    <w:name w:val="List Paragraph"/>
    <w:basedOn w:val="Normal"/>
    <w:uiPriority w:val="34"/>
    <w:qFormat/>
    <w:rsid w:val="00063805"/>
    <w:pPr>
      <w:ind w:left="720"/>
      <w:contextualSpacing/>
    </w:pPr>
  </w:style>
  <w:style w:type="paragraph" w:styleId="NormalWeb">
    <w:name w:val="Normal (Web)"/>
    <w:basedOn w:val="Normal"/>
    <w:uiPriority w:val="99"/>
    <w:unhideWhenUsed/>
    <w:rsid w:val="0006380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rsid w:val="004C2227"/>
    <w:rPr>
      <w:rFonts w:ascii="Times New Roman" w:eastAsia="Times New Roman" w:hAnsi="Times New Roman" w:cs="Times New Roman"/>
      <w:b/>
      <w:bCs/>
      <w:sz w:val="27"/>
      <w:szCs w:val="27"/>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egletal.dk/noegletal/ntStar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2025-10-27T10:12:00Z</dcterms:created>
  <dcterms:modified xsi:type="dcterms:W3CDTF">2025-10-27T10:12:00Z</dcterms:modified>
</cp:coreProperties>
</file>