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45CE" w14:textId="7F8816C2" w:rsidR="00E66DA3" w:rsidRDefault="00E66DA3" w:rsidP="00E66DA3">
      <w:pPr>
        <w:pStyle w:val="Overskrift1"/>
      </w:pPr>
      <w:r>
        <w:t xml:space="preserve">Arbejdsark: </w:t>
      </w:r>
      <w:r w:rsidR="00D06574">
        <w:t xml:space="preserve">Vælgeradfærd og kommunalpolitik. </w:t>
      </w:r>
    </w:p>
    <w:p w14:paraId="0400D313" w14:textId="7BB478A8" w:rsidR="00735648" w:rsidRDefault="00735648" w:rsidP="00735648">
      <w:pPr>
        <w:pStyle w:val="Listeafsnit"/>
        <w:numPr>
          <w:ilvl w:val="0"/>
          <w:numId w:val="4"/>
        </w:numPr>
      </w:pPr>
      <w:r>
        <w:t>Udfyld nedenstående</w:t>
      </w:r>
    </w:p>
    <w:p w14:paraId="091FF2A2" w14:textId="1637DE31" w:rsidR="00735648" w:rsidRPr="00735648" w:rsidRDefault="00735648" w:rsidP="00735648">
      <w:pPr>
        <w:pStyle w:val="Listeafsnit"/>
        <w:numPr>
          <w:ilvl w:val="0"/>
          <w:numId w:val="4"/>
        </w:numPr>
      </w:pPr>
      <w:r>
        <w:t xml:space="preserve">Pararbejde: Forklar dernæst begreberne i en tilfældig rækkefølge uden at nævne begrebet. </w:t>
      </w:r>
    </w:p>
    <w:tbl>
      <w:tblPr>
        <w:tblStyle w:val="Tabel-Gitter"/>
        <w:tblW w:w="9663" w:type="dxa"/>
        <w:tblInd w:w="35" w:type="dxa"/>
        <w:tblLook w:val="04A0" w:firstRow="1" w:lastRow="0" w:firstColumn="1" w:lastColumn="0" w:noHBand="0" w:noVBand="1"/>
      </w:tblPr>
      <w:tblGrid>
        <w:gridCol w:w="3557"/>
        <w:gridCol w:w="6106"/>
      </w:tblGrid>
      <w:tr w:rsidR="00735648" w14:paraId="66EA902E" w14:textId="77777777" w:rsidTr="00735648">
        <w:trPr>
          <w:trHeight w:val="370"/>
        </w:trPr>
        <w:tc>
          <w:tcPr>
            <w:tcW w:w="3557" w:type="dxa"/>
            <w:shd w:val="clear" w:color="auto" w:fill="EAEDF1" w:themeFill="text2" w:themeFillTint="1A"/>
          </w:tcPr>
          <w:p w14:paraId="4634022F" w14:textId="77777777" w:rsidR="00735648" w:rsidRPr="000451E4" w:rsidRDefault="00735648" w:rsidP="00426E56">
            <w:pPr>
              <w:spacing w:line="360" w:lineRule="auto"/>
            </w:pPr>
            <w:r w:rsidRPr="000451E4">
              <w:t>Begreb fra teksten</w:t>
            </w:r>
          </w:p>
        </w:tc>
        <w:tc>
          <w:tcPr>
            <w:tcW w:w="6106" w:type="dxa"/>
            <w:shd w:val="clear" w:color="auto" w:fill="EAEDF1" w:themeFill="text2" w:themeFillTint="1A"/>
          </w:tcPr>
          <w:p w14:paraId="54449A91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Min oversættelse, huskestrategi, forklaring</w:t>
            </w:r>
          </w:p>
        </w:tc>
      </w:tr>
      <w:tr w:rsidR="00735648" w14:paraId="4A196656" w14:textId="77777777" w:rsidTr="00735648">
        <w:trPr>
          <w:trHeight w:val="723"/>
        </w:trPr>
        <w:tc>
          <w:tcPr>
            <w:tcW w:w="3557" w:type="dxa"/>
          </w:tcPr>
          <w:p w14:paraId="4FAA16F1" w14:textId="477E435E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Marginalvælger</w:t>
            </w:r>
          </w:p>
        </w:tc>
        <w:tc>
          <w:tcPr>
            <w:tcW w:w="6106" w:type="dxa"/>
          </w:tcPr>
          <w:p w14:paraId="4B3EFA69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5E0E3F0F" w14:textId="77777777" w:rsidTr="00735648">
        <w:trPr>
          <w:trHeight w:val="732"/>
        </w:trPr>
        <w:tc>
          <w:tcPr>
            <w:tcW w:w="3557" w:type="dxa"/>
          </w:tcPr>
          <w:p w14:paraId="4B77C310" w14:textId="654E9A68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Kernevælger</w:t>
            </w:r>
          </w:p>
        </w:tc>
        <w:tc>
          <w:tcPr>
            <w:tcW w:w="6106" w:type="dxa"/>
          </w:tcPr>
          <w:p w14:paraId="4C832423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4EEE6C75" w14:textId="77777777" w:rsidTr="00735648">
        <w:trPr>
          <w:trHeight w:val="723"/>
        </w:trPr>
        <w:tc>
          <w:tcPr>
            <w:tcW w:w="3557" w:type="dxa"/>
          </w:tcPr>
          <w:p w14:paraId="63961550" w14:textId="37E0DC4A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Splitvoting</w:t>
            </w:r>
            <w:proofErr w:type="spellEnd"/>
          </w:p>
        </w:tc>
        <w:tc>
          <w:tcPr>
            <w:tcW w:w="6106" w:type="dxa"/>
          </w:tcPr>
          <w:p w14:paraId="0FBC895D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6E342843" w14:textId="77777777" w:rsidTr="00735648">
        <w:trPr>
          <w:trHeight w:val="732"/>
        </w:trPr>
        <w:tc>
          <w:tcPr>
            <w:tcW w:w="3557" w:type="dxa"/>
          </w:tcPr>
          <w:p w14:paraId="2BC39CC5" w14:textId="67368DAC" w:rsidR="00735648" w:rsidRPr="003C2D06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Parti- eller kandidatvælger</w:t>
            </w:r>
          </w:p>
        </w:tc>
        <w:tc>
          <w:tcPr>
            <w:tcW w:w="6106" w:type="dxa"/>
          </w:tcPr>
          <w:p w14:paraId="0A620A5C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112D8F50" w14:textId="77777777" w:rsidTr="00735648">
        <w:trPr>
          <w:trHeight w:val="723"/>
        </w:trPr>
        <w:tc>
          <w:tcPr>
            <w:tcW w:w="3557" w:type="dxa"/>
          </w:tcPr>
          <w:p w14:paraId="43A53DEF" w14:textId="53BBE815" w:rsidR="00031FCE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Landspolitisk valgvind</w:t>
            </w:r>
          </w:p>
          <w:p w14:paraId="61F97F0F" w14:textId="62DE3E24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06" w:type="dxa"/>
          </w:tcPr>
          <w:p w14:paraId="3B8C51DE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031FCE" w14:paraId="1B7B9C15" w14:textId="77777777" w:rsidTr="00735648">
        <w:trPr>
          <w:trHeight w:val="723"/>
        </w:trPr>
        <w:tc>
          <w:tcPr>
            <w:tcW w:w="3557" w:type="dxa"/>
          </w:tcPr>
          <w:p w14:paraId="6E24A226" w14:textId="43F3A646" w:rsidR="00031FCE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Borgmestereffekten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106" w:type="dxa"/>
          </w:tcPr>
          <w:p w14:paraId="0E6D8B09" w14:textId="77777777" w:rsidR="00031FCE" w:rsidRDefault="00031FCE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031FCE" w14:paraId="67694484" w14:textId="77777777" w:rsidTr="00735648">
        <w:trPr>
          <w:trHeight w:val="723"/>
        </w:trPr>
        <w:tc>
          <w:tcPr>
            <w:tcW w:w="3557" w:type="dxa"/>
          </w:tcPr>
          <w:p w14:paraId="26209A77" w14:textId="0622D04F" w:rsidR="00031FCE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Rational-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choice</w:t>
            </w:r>
            <w:proofErr w:type="spellEnd"/>
          </w:p>
        </w:tc>
        <w:tc>
          <w:tcPr>
            <w:tcW w:w="6106" w:type="dxa"/>
          </w:tcPr>
          <w:p w14:paraId="4BD28C9D" w14:textId="77777777" w:rsidR="00031FCE" w:rsidRDefault="00031FCE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3D459762" w14:textId="77777777" w:rsidTr="00735648">
        <w:trPr>
          <w:trHeight w:val="370"/>
        </w:trPr>
        <w:tc>
          <w:tcPr>
            <w:tcW w:w="3557" w:type="dxa"/>
          </w:tcPr>
          <w:p w14:paraId="1BDFA57D" w14:textId="171121C6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Issuevoting</w:t>
            </w:r>
            <w:proofErr w:type="spellEnd"/>
          </w:p>
        </w:tc>
        <w:tc>
          <w:tcPr>
            <w:tcW w:w="6106" w:type="dxa"/>
          </w:tcPr>
          <w:p w14:paraId="6DDC7371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14:paraId="61F4E938" w14:textId="77777777" w:rsidTr="00735648">
        <w:trPr>
          <w:trHeight w:val="370"/>
        </w:trPr>
        <w:tc>
          <w:tcPr>
            <w:tcW w:w="3557" w:type="dxa"/>
          </w:tcPr>
          <w:p w14:paraId="31CD62A5" w14:textId="0F1D0259" w:rsidR="00735648" w:rsidRPr="003C2D06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Minervamodellen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106" w:type="dxa"/>
          </w:tcPr>
          <w:p w14:paraId="2F4E17D4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  <w:tr w:rsidR="00735648" w:rsidRPr="003C2D06" w14:paraId="7A7CA7DC" w14:textId="77777777" w:rsidTr="00735648">
        <w:trPr>
          <w:trHeight w:val="370"/>
        </w:trPr>
        <w:tc>
          <w:tcPr>
            <w:tcW w:w="3557" w:type="dxa"/>
          </w:tcPr>
          <w:p w14:paraId="0BA3F4F2" w14:textId="66EFCF7F" w:rsidR="00735648" w:rsidRPr="003C2D06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Naboeffekten</w:t>
            </w:r>
          </w:p>
        </w:tc>
        <w:tc>
          <w:tcPr>
            <w:tcW w:w="6106" w:type="dxa"/>
          </w:tcPr>
          <w:p w14:paraId="2BF89519" w14:textId="77777777" w:rsidR="00735648" w:rsidRPr="003C2D06" w:rsidRDefault="00735648" w:rsidP="00426E5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35648" w14:paraId="093F60DD" w14:textId="77777777" w:rsidTr="00735648">
        <w:trPr>
          <w:trHeight w:val="370"/>
        </w:trPr>
        <w:tc>
          <w:tcPr>
            <w:tcW w:w="3557" w:type="dxa"/>
          </w:tcPr>
          <w:p w14:paraId="0949D3C8" w14:textId="01231084" w:rsidR="00735648" w:rsidRPr="003C2D06" w:rsidRDefault="00031FCE" w:rsidP="00426E5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Gruppemodel/opinionsleder</w:t>
            </w:r>
          </w:p>
        </w:tc>
        <w:tc>
          <w:tcPr>
            <w:tcW w:w="6106" w:type="dxa"/>
          </w:tcPr>
          <w:p w14:paraId="704E5C7F" w14:textId="77777777" w:rsidR="00735648" w:rsidRDefault="00735648" w:rsidP="00426E56">
            <w:pPr>
              <w:spacing w:line="360" w:lineRule="auto"/>
              <w:rPr>
                <w:b/>
                <w:bCs/>
              </w:rPr>
            </w:pPr>
          </w:p>
        </w:tc>
      </w:tr>
    </w:tbl>
    <w:p w14:paraId="1CC06503" w14:textId="77777777" w:rsidR="00735648" w:rsidRDefault="00092D49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 w:rsidRPr="00735648">
        <w:rPr>
          <w:rFonts w:ascii="AppleSystemUIFont" w:hAnsi="AppleSystemUIFont" w:cs="AppleSystemUIFont"/>
          <w:sz w:val="26"/>
          <w:szCs w:val="26"/>
        </w:rPr>
        <w:t xml:space="preserve">Undersøg om naboeffekten kan bekræftes i din kommune. Undersøg </w:t>
      </w:r>
      <w:r w:rsidRPr="00735648">
        <w:rPr>
          <w:rFonts w:ascii="AppleSystemUIFont" w:hAnsi="AppleSystemUIFont" w:cs="AppleSystemUIFont"/>
          <w:sz w:val="26"/>
          <w:szCs w:val="26"/>
        </w:rPr>
        <w:t>f.eks.</w:t>
      </w:r>
      <w:r w:rsidRPr="00735648">
        <w:rPr>
          <w:rFonts w:ascii="AppleSystemUIFont" w:hAnsi="AppleSystemUIFont" w:cs="AppleSystemUIFont"/>
          <w:sz w:val="26"/>
          <w:szCs w:val="26"/>
        </w:rPr>
        <w:t xml:space="preserve"> de tre kandidater, som fik flest, og de tre, der fik færrest, hvor de fik deres stemmer fra eller vælg en anden metode. Fx en kandidat fra dit lokalområde.</w:t>
      </w:r>
    </w:p>
    <w:p w14:paraId="4E6CF7EE" w14:textId="77777777" w:rsidR="00735648" w:rsidRDefault="00092D49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 w:rsidRPr="00735648">
        <w:rPr>
          <w:rFonts w:ascii="AppleSystemUIFont" w:hAnsi="AppleSystemUIFont" w:cs="AppleSystemUIFont"/>
          <w:sz w:val="26"/>
          <w:szCs w:val="26"/>
        </w:rPr>
        <w:t xml:space="preserve">Undersøg om borgmestereffekten kan bekræftes i din kommune eller en anden nordjysk kommune. Kig på valgresultatet fra </w:t>
      </w:r>
      <w:r w:rsidR="00F21FC4" w:rsidRPr="00735648">
        <w:rPr>
          <w:rFonts w:ascii="AppleSystemUIFont" w:hAnsi="AppleSystemUIFont" w:cs="AppleSystemUIFont"/>
          <w:sz w:val="26"/>
          <w:szCs w:val="26"/>
        </w:rPr>
        <w:t xml:space="preserve">KV </w:t>
      </w:r>
      <w:r w:rsidRPr="00735648">
        <w:rPr>
          <w:rFonts w:ascii="AppleSystemUIFont" w:hAnsi="AppleSystemUIFont" w:cs="AppleSystemUIFont"/>
          <w:sz w:val="26"/>
          <w:szCs w:val="26"/>
        </w:rPr>
        <w:t>2017</w:t>
      </w:r>
      <w:r w:rsidR="00F21FC4" w:rsidRPr="00735648">
        <w:rPr>
          <w:rFonts w:ascii="AppleSystemUIFont" w:hAnsi="AppleSystemUIFont" w:cs="AppleSystemUIFont"/>
          <w:sz w:val="26"/>
          <w:szCs w:val="26"/>
        </w:rPr>
        <w:t xml:space="preserve"> til KV 2021.</w:t>
      </w:r>
    </w:p>
    <w:p w14:paraId="0DB3112C" w14:textId="62AC902D" w:rsidR="004B37BE" w:rsidRDefault="004B37BE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 xml:space="preserve">Lav en valgvindsanalyse af to selvvalgte partier. </w:t>
      </w:r>
      <w:r w:rsidR="00031FCE">
        <w:rPr>
          <w:rFonts w:ascii="AppleSystemUIFont" w:hAnsi="AppleSystemUIFont" w:cs="AppleSystemUIFont"/>
          <w:sz w:val="26"/>
          <w:szCs w:val="26"/>
        </w:rPr>
        <w:t xml:space="preserve">Bemærk: Her skal du kigge på partiets fremgang eller tilbagegang på landsplan siden byrådsvalget november 2021. </w:t>
      </w:r>
      <w:r w:rsidR="00031FCE" w:rsidRPr="00031FCE">
        <w:rPr>
          <w:rFonts w:ascii="AppleSystemUIFont" w:hAnsi="AppleSystemUIFont" w:cs="AppleSystemUIFont"/>
          <w:sz w:val="26"/>
          <w:szCs w:val="26"/>
        </w:rPr>
        <w:t>https://www.dr.dk/nyheder/politik/meningsmaalinger</w:t>
      </w:r>
    </w:p>
    <w:p w14:paraId="5A9DB307" w14:textId="7E3C1E83" w:rsidR="00092D49" w:rsidRDefault="00092D49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 w:rsidRPr="00735648">
        <w:rPr>
          <w:rFonts w:ascii="AppleSystemUIFont" w:hAnsi="AppleSystemUIFont" w:cs="AppleSystemUIFont"/>
          <w:sz w:val="26"/>
          <w:szCs w:val="26"/>
        </w:rPr>
        <w:t xml:space="preserve">Undersøg 3 politiske partiers kampagner til </w:t>
      </w:r>
      <w:proofErr w:type="spellStart"/>
      <w:r w:rsidRPr="00735648">
        <w:rPr>
          <w:rFonts w:ascii="AppleSystemUIFont" w:hAnsi="AppleSystemUIFont" w:cs="AppleSystemUIFont"/>
          <w:sz w:val="26"/>
          <w:szCs w:val="26"/>
        </w:rPr>
        <w:t>kv</w:t>
      </w:r>
      <w:proofErr w:type="spellEnd"/>
      <w:r w:rsidRPr="00735648">
        <w:rPr>
          <w:rFonts w:ascii="AppleSystemUIFont" w:hAnsi="AppleSystemUIFont" w:cs="AppleSystemUIFont"/>
          <w:sz w:val="26"/>
          <w:szCs w:val="26"/>
        </w:rPr>
        <w:t xml:space="preserve"> 202</w:t>
      </w:r>
      <w:r w:rsidR="00735648">
        <w:rPr>
          <w:rFonts w:ascii="AppleSystemUIFont" w:hAnsi="AppleSystemUIFont" w:cs="AppleSystemUIFont"/>
          <w:sz w:val="26"/>
          <w:szCs w:val="26"/>
        </w:rPr>
        <w:t>5</w:t>
      </w:r>
      <w:r w:rsidRPr="00735648">
        <w:rPr>
          <w:rFonts w:ascii="AppleSystemUIFont" w:hAnsi="AppleSystemUIFont" w:cs="AppleSystemUIFont"/>
          <w:sz w:val="26"/>
          <w:szCs w:val="26"/>
        </w:rPr>
        <w:t xml:space="preserve"> i Aalborg kommune og anvend viden om Minervamodellen. </w:t>
      </w:r>
    </w:p>
    <w:p w14:paraId="5C1B2CCE" w14:textId="613F9AB2" w:rsidR="00735648" w:rsidRPr="00735648" w:rsidRDefault="00735648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 w:rsidRPr="00735648">
        <w:rPr>
          <w:rFonts w:ascii="AppleSystemUIFont" w:hAnsi="AppleSystemUIFont" w:cs="AppleSystemUIFont"/>
          <w:sz w:val="26"/>
          <w:szCs w:val="26"/>
        </w:rPr>
        <w:t xml:space="preserve">Gå en tur </w:t>
      </w:r>
      <w:r>
        <w:rPr>
          <w:rFonts w:ascii="AppleSystemUIFont" w:hAnsi="AppleSystemUIFont" w:cs="AppleSystemUIFont"/>
          <w:sz w:val="26"/>
          <w:szCs w:val="26"/>
        </w:rPr>
        <w:t xml:space="preserve">på 15 minutter </w:t>
      </w:r>
      <w:r w:rsidRPr="00735648">
        <w:rPr>
          <w:rFonts w:ascii="AppleSystemUIFont" w:hAnsi="AppleSystemUIFont" w:cs="AppleSystemUIFont"/>
          <w:sz w:val="26"/>
          <w:szCs w:val="26"/>
        </w:rPr>
        <w:t xml:space="preserve">og </w:t>
      </w:r>
      <w:r>
        <w:rPr>
          <w:rFonts w:ascii="AppleSystemUIFont" w:hAnsi="AppleSystemUIFont" w:cs="AppleSystemUIFont"/>
          <w:sz w:val="26"/>
          <w:szCs w:val="26"/>
        </w:rPr>
        <w:t xml:space="preserve">tag billeder af valgplakater. </w:t>
      </w:r>
      <w:r w:rsidR="0090319E">
        <w:rPr>
          <w:rFonts w:ascii="AppleSystemUIFont" w:hAnsi="AppleSystemUIFont" w:cs="AppleSystemUIFont"/>
          <w:sz w:val="26"/>
          <w:szCs w:val="26"/>
        </w:rPr>
        <w:t xml:space="preserve">Anvend faglig viden i en analyse af valgplakater. Fx politiske ideologier og hvilke vælgergrupper der appelleres til. </w:t>
      </w:r>
    </w:p>
    <w:p w14:paraId="2E95F04F" w14:textId="07F70B86" w:rsidR="00735648" w:rsidRDefault="0090319E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Lav nu beregninger på hvor procentandele hhv. kvinder og mænd udgør af kandidatlisten i Aalborg kommune og region Nordjylland. </w:t>
      </w:r>
    </w:p>
    <w:p w14:paraId="2CAB1C3D" w14:textId="1F31F15D" w:rsidR="0090319E" w:rsidRDefault="0090319E" w:rsidP="00735648">
      <w:pPr>
        <w:pStyle w:val="Listeafsnit"/>
        <w:numPr>
          <w:ilvl w:val="0"/>
          <w:numId w:val="4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Konfidensintervaller. </w:t>
      </w:r>
      <w:r w:rsidR="00415A27">
        <w:rPr>
          <w:rFonts w:ascii="AppleSystemUIFont" w:hAnsi="AppleSystemUIFont" w:cs="AppleSystemUIFont"/>
          <w:sz w:val="26"/>
          <w:szCs w:val="26"/>
        </w:rPr>
        <w:t xml:space="preserve">Hvad skal man være opmærksom på i nærværende meningsmåling? </w:t>
      </w:r>
      <w:hyperlink r:id="rId5" w:history="1">
        <w:r w:rsidR="00415A27" w:rsidRPr="004918DF">
          <w:rPr>
            <w:rStyle w:val="Hyperlink"/>
            <w:rFonts w:ascii="AppleSystemUIFont" w:hAnsi="AppleSystemUIFont" w:cs="AppleSystemUIFont"/>
            <w:sz w:val="26"/>
            <w:szCs w:val="26"/>
          </w:rPr>
          <w:t>https://politiken.dk/danmark/politik/kommunalvalg/art10591322/Dyk-ned-i-kæmpestor-måling-fra-98-kommuner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5"/>
        <w:gridCol w:w="2406"/>
        <w:gridCol w:w="2410"/>
      </w:tblGrid>
      <w:tr w:rsidR="00415A27" w:rsidRPr="00D14F2C" w14:paraId="426A6E62" w14:textId="77777777" w:rsidTr="00426E56">
        <w:tc>
          <w:tcPr>
            <w:tcW w:w="2407" w:type="dxa"/>
          </w:tcPr>
          <w:p w14:paraId="32D1F7CA" w14:textId="77777777" w:rsidR="00415A27" w:rsidRPr="00415A27" w:rsidRDefault="00415A27" w:rsidP="00415A27">
            <w:pPr>
              <w:ind w:left="360"/>
              <w:rPr>
                <w:rFonts w:ascii="Calibri" w:hAnsi="Calibri" w:cs="Calibri"/>
                <w:b/>
                <w:bCs/>
              </w:rPr>
            </w:pPr>
            <w:r w:rsidRPr="00415A27">
              <w:rPr>
                <w:rFonts w:ascii="Calibri" w:hAnsi="Calibri" w:cs="Calibri"/>
                <w:b/>
                <w:bCs/>
              </w:rPr>
              <w:t>Parti</w:t>
            </w:r>
          </w:p>
        </w:tc>
        <w:tc>
          <w:tcPr>
            <w:tcW w:w="2405" w:type="dxa"/>
          </w:tcPr>
          <w:p w14:paraId="3C1BD13B" w14:textId="4D28F8AB" w:rsidR="00415A27" w:rsidRPr="00D14F2C" w:rsidRDefault="00415A27" w:rsidP="00426E56">
            <w:pPr>
              <w:rPr>
                <w:rFonts w:ascii="Calibri" w:hAnsi="Calibri" w:cs="Calibri"/>
                <w:b/>
                <w:bCs/>
              </w:rPr>
            </w:pPr>
            <w:r w:rsidRPr="00D14F2C">
              <w:rPr>
                <w:rFonts w:ascii="Calibri" w:hAnsi="Calibri" w:cs="Calibri"/>
                <w:b/>
                <w:bCs/>
              </w:rPr>
              <w:t xml:space="preserve">Valgresultat ved </w:t>
            </w:r>
            <w:r>
              <w:rPr>
                <w:rFonts w:ascii="Calibri" w:hAnsi="Calibri" w:cs="Calibri"/>
                <w:b/>
                <w:bCs/>
              </w:rPr>
              <w:t>kommunalvalg 2021</w:t>
            </w:r>
          </w:p>
        </w:tc>
        <w:tc>
          <w:tcPr>
            <w:tcW w:w="2406" w:type="dxa"/>
          </w:tcPr>
          <w:p w14:paraId="12369DE7" w14:textId="0F20AC16" w:rsidR="00415A27" w:rsidRPr="00D14F2C" w:rsidRDefault="00415A27" w:rsidP="00426E56">
            <w:pPr>
              <w:rPr>
                <w:rFonts w:ascii="Calibri" w:hAnsi="Calibri" w:cs="Calibri"/>
                <w:b/>
                <w:bCs/>
              </w:rPr>
            </w:pPr>
            <w:r w:rsidRPr="00D14F2C">
              <w:rPr>
                <w:rFonts w:ascii="Calibri" w:hAnsi="Calibri" w:cs="Calibri"/>
                <w:b/>
                <w:bCs/>
              </w:rPr>
              <w:t xml:space="preserve">Konfidensinterval på 95% - beregnet ud fra meningsmåling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okt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2025</w:t>
            </w:r>
          </w:p>
        </w:tc>
        <w:tc>
          <w:tcPr>
            <w:tcW w:w="2410" w:type="dxa"/>
          </w:tcPr>
          <w:p w14:paraId="545455BF" w14:textId="77777777" w:rsidR="00415A27" w:rsidRPr="00D14F2C" w:rsidRDefault="00415A27" w:rsidP="00426E56">
            <w:pPr>
              <w:rPr>
                <w:rFonts w:ascii="Calibri" w:hAnsi="Calibri" w:cs="Calibri"/>
                <w:b/>
                <w:bCs/>
              </w:rPr>
            </w:pPr>
            <w:r w:rsidRPr="00D14F2C">
              <w:rPr>
                <w:rFonts w:ascii="Calibri" w:hAnsi="Calibri" w:cs="Calibri"/>
                <w:b/>
                <w:bCs/>
              </w:rPr>
              <w:t>Statistisk signifikant? (noter ja/nej = frem/tilbage)</w:t>
            </w:r>
          </w:p>
        </w:tc>
      </w:tr>
      <w:tr w:rsidR="00415A27" w:rsidRPr="00D14F2C" w14:paraId="14F46289" w14:textId="77777777" w:rsidTr="00426E56">
        <w:tc>
          <w:tcPr>
            <w:tcW w:w="2407" w:type="dxa"/>
          </w:tcPr>
          <w:p w14:paraId="081971F5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Socialdemokratiet (A)</w:t>
            </w:r>
          </w:p>
        </w:tc>
        <w:tc>
          <w:tcPr>
            <w:tcW w:w="2405" w:type="dxa"/>
          </w:tcPr>
          <w:p w14:paraId="53357B00" w14:textId="13171D22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45BC9547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EB79C4F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4DECB8A5" w14:textId="77777777" w:rsidTr="00426E56">
        <w:tc>
          <w:tcPr>
            <w:tcW w:w="2407" w:type="dxa"/>
          </w:tcPr>
          <w:p w14:paraId="7E74E188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SF (F)</w:t>
            </w:r>
          </w:p>
        </w:tc>
        <w:tc>
          <w:tcPr>
            <w:tcW w:w="2405" w:type="dxa"/>
          </w:tcPr>
          <w:p w14:paraId="64FD0E59" w14:textId="390234AB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5B1C5468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8DEFF15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648BDA67" w14:textId="77777777" w:rsidTr="00426E56">
        <w:tc>
          <w:tcPr>
            <w:tcW w:w="2407" w:type="dxa"/>
          </w:tcPr>
          <w:p w14:paraId="0D7480FD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Venstre (V)</w:t>
            </w:r>
          </w:p>
        </w:tc>
        <w:tc>
          <w:tcPr>
            <w:tcW w:w="2405" w:type="dxa"/>
          </w:tcPr>
          <w:p w14:paraId="498524BB" w14:textId="2644FE1B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13DEE3F7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8DC3FE3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0388D6E1" w14:textId="77777777" w:rsidTr="00426E56">
        <w:tc>
          <w:tcPr>
            <w:tcW w:w="2407" w:type="dxa"/>
          </w:tcPr>
          <w:p w14:paraId="644693AF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Liberal Alliance (I)</w:t>
            </w:r>
          </w:p>
        </w:tc>
        <w:tc>
          <w:tcPr>
            <w:tcW w:w="2405" w:type="dxa"/>
          </w:tcPr>
          <w:p w14:paraId="029C7A7E" w14:textId="32332E31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4813E60D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E6D55FE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69965329" w14:textId="77777777" w:rsidTr="00426E56">
        <w:tc>
          <w:tcPr>
            <w:tcW w:w="2407" w:type="dxa"/>
          </w:tcPr>
          <w:p w14:paraId="33A834E7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Danmarksdemokraterne</w:t>
            </w:r>
          </w:p>
        </w:tc>
        <w:tc>
          <w:tcPr>
            <w:tcW w:w="2405" w:type="dxa"/>
          </w:tcPr>
          <w:p w14:paraId="5702607A" w14:textId="2D6E3184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113C0B01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77EE14E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0740B6B3" w14:textId="77777777" w:rsidTr="00426E56">
        <w:tc>
          <w:tcPr>
            <w:tcW w:w="2407" w:type="dxa"/>
          </w:tcPr>
          <w:p w14:paraId="47014654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Konservative</w:t>
            </w:r>
          </w:p>
        </w:tc>
        <w:tc>
          <w:tcPr>
            <w:tcW w:w="2405" w:type="dxa"/>
          </w:tcPr>
          <w:p w14:paraId="16F3D6B7" w14:textId="326E2A79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2380E7EC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34E207A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3EA5D447" w14:textId="77777777" w:rsidTr="00426E56">
        <w:tc>
          <w:tcPr>
            <w:tcW w:w="2407" w:type="dxa"/>
          </w:tcPr>
          <w:p w14:paraId="58ADA45A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 xml:space="preserve">Enhedslisten </w:t>
            </w:r>
          </w:p>
        </w:tc>
        <w:tc>
          <w:tcPr>
            <w:tcW w:w="2405" w:type="dxa"/>
          </w:tcPr>
          <w:p w14:paraId="1886FACC" w14:textId="0370E718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0D501F62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5D099B7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666E109A" w14:textId="77777777" w:rsidTr="00426E56">
        <w:tc>
          <w:tcPr>
            <w:tcW w:w="2407" w:type="dxa"/>
          </w:tcPr>
          <w:p w14:paraId="7ACD769D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Dansk Folkeparti</w:t>
            </w:r>
          </w:p>
        </w:tc>
        <w:tc>
          <w:tcPr>
            <w:tcW w:w="2405" w:type="dxa"/>
          </w:tcPr>
          <w:p w14:paraId="374C6889" w14:textId="5B269550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09532138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52E25D4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290B062E" w14:textId="77777777" w:rsidTr="00426E56">
        <w:tc>
          <w:tcPr>
            <w:tcW w:w="2407" w:type="dxa"/>
          </w:tcPr>
          <w:p w14:paraId="277FD4F0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Moderaterne</w:t>
            </w:r>
          </w:p>
          <w:p w14:paraId="6E18D1BA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5" w:type="dxa"/>
          </w:tcPr>
          <w:p w14:paraId="4932C4E8" w14:textId="18FB1838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3BB8C72E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ABE13D1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00805C2E" w14:textId="77777777" w:rsidTr="00426E56">
        <w:tc>
          <w:tcPr>
            <w:tcW w:w="2407" w:type="dxa"/>
          </w:tcPr>
          <w:p w14:paraId="26F8D09B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Radikale Venstre</w:t>
            </w:r>
          </w:p>
        </w:tc>
        <w:tc>
          <w:tcPr>
            <w:tcW w:w="2405" w:type="dxa"/>
          </w:tcPr>
          <w:p w14:paraId="32677F22" w14:textId="10D72112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4785175D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7DE26B9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  <w:tr w:rsidR="00415A27" w:rsidRPr="00D14F2C" w14:paraId="23C0E978" w14:textId="77777777" w:rsidTr="00426E56">
        <w:tc>
          <w:tcPr>
            <w:tcW w:w="2407" w:type="dxa"/>
          </w:tcPr>
          <w:p w14:paraId="575D0370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  <w:r w:rsidRPr="00D14F2C">
              <w:rPr>
                <w:rFonts w:ascii="Calibri" w:hAnsi="Calibri" w:cs="Calibri"/>
              </w:rPr>
              <w:t>Alternativet</w:t>
            </w:r>
          </w:p>
        </w:tc>
        <w:tc>
          <w:tcPr>
            <w:tcW w:w="2405" w:type="dxa"/>
          </w:tcPr>
          <w:p w14:paraId="2659B868" w14:textId="6211DADE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06" w:type="dxa"/>
          </w:tcPr>
          <w:p w14:paraId="5B042F1E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4A907AB9" w14:textId="77777777" w:rsidR="00415A27" w:rsidRPr="00D14F2C" w:rsidRDefault="00415A27" w:rsidP="00426E56">
            <w:pPr>
              <w:rPr>
                <w:rFonts w:ascii="Calibri" w:hAnsi="Calibri" w:cs="Calibri"/>
              </w:rPr>
            </w:pPr>
          </w:p>
        </w:tc>
      </w:tr>
    </w:tbl>
    <w:p w14:paraId="3AC96767" w14:textId="77777777" w:rsidR="00415A27" w:rsidRPr="00D14F2C" w:rsidRDefault="00415A27" w:rsidP="00415A27">
      <w:pPr>
        <w:rPr>
          <w:rFonts w:ascii="Calibri" w:hAnsi="Calibri" w:cs="Calibri"/>
        </w:rPr>
      </w:pPr>
    </w:p>
    <w:p w14:paraId="2648F47E" w14:textId="77777777" w:rsidR="00415A27" w:rsidRPr="00735648" w:rsidRDefault="00415A27" w:rsidP="00415A27">
      <w:pPr>
        <w:pStyle w:val="Listeafsnit"/>
        <w:rPr>
          <w:rFonts w:ascii="AppleSystemUIFont" w:hAnsi="AppleSystemUIFont" w:cs="AppleSystemUIFont"/>
          <w:sz w:val="26"/>
          <w:szCs w:val="26"/>
        </w:rPr>
      </w:pPr>
    </w:p>
    <w:p w14:paraId="2175210F" w14:textId="77777777" w:rsidR="00092D49" w:rsidRDefault="00092D49" w:rsidP="00092D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2581F193" w14:textId="77777777" w:rsidR="00092D49" w:rsidRDefault="00092D49" w:rsidP="00092D4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6E59D570" w14:textId="77777777" w:rsidR="00E66DA3" w:rsidRDefault="00E66DA3" w:rsidP="00E66DA3"/>
    <w:p w14:paraId="1AD10EC3" w14:textId="77777777" w:rsidR="00BF4C52" w:rsidRPr="00E66DA3" w:rsidRDefault="00BF4C52" w:rsidP="00BF4C52">
      <w:pPr>
        <w:pStyle w:val="Listeafsnit"/>
        <w:rPr>
          <w:b/>
        </w:rPr>
      </w:pPr>
    </w:p>
    <w:sectPr w:rsidR="00BF4C52" w:rsidRPr="00E66D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836"/>
    <w:multiLevelType w:val="hybridMultilevel"/>
    <w:tmpl w:val="2DB60C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6A4"/>
    <w:multiLevelType w:val="hybridMultilevel"/>
    <w:tmpl w:val="F8E06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780F"/>
    <w:multiLevelType w:val="hybridMultilevel"/>
    <w:tmpl w:val="D3EECA90"/>
    <w:lvl w:ilvl="0" w:tplc="E0BE83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2C24AA"/>
    <w:multiLevelType w:val="hybridMultilevel"/>
    <w:tmpl w:val="AA9E00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7487">
    <w:abstractNumId w:val="1"/>
  </w:num>
  <w:num w:numId="2" w16cid:durableId="854265213">
    <w:abstractNumId w:val="0"/>
  </w:num>
  <w:num w:numId="3" w16cid:durableId="546185546">
    <w:abstractNumId w:val="2"/>
  </w:num>
  <w:num w:numId="4" w16cid:durableId="87924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A3"/>
    <w:rsid w:val="00031FCE"/>
    <w:rsid w:val="00092D49"/>
    <w:rsid w:val="000D6227"/>
    <w:rsid w:val="000F442C"/>
    <w:rsid w:val="002268C9"/>
    <w:rsid w:val="003D0451"/>
    <w:rsid w:val="003D2531"/>
    <w:rsid w:val="00415A27"/>
    <w:rsid w:val="004B37BE"/>
    <w:rsid w:val="00585184"/>
    <w:rsid w:val="005B2AFC"/>
    <w:rsid w:val="005F327B"/>
    <w:rsid w:val="00735648"/>
    <w:rsid w:val="0077688C"/>
    <w:rsid w:val="007F3E6A"/>
    <w:rsid w:val="0090319E"/>
    <w:rsid w:val="009D04A3"/>
    <w:rsid w:val="00A01121"/>
    <w:rsid w:val="00A816C1"/>
    <w:rsid w:val="00BF4C52"/>
    <w:rsid w:val="00D026DB"/>
    <w:rsid w:val="00D06574"/>
    <w:rsid w:val="00D938B9"/>
    <w:rsid w:val="00E66DA3"/>
    <w:rsid w:val="00E94146"/>
    <w:rsid w:val="00F21FC4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0E715"/>
  <w15:chartTrackingRefBased/>
  <w15:docId w15:val="{AFDDE6CC-EE7A-F94F-BD3D-BE02D12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A3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6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6D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6D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66DA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6D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D25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253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7688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7688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krifttypeiafsnit"/>
    <w:rsid w:val="0073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502">
          <w:blockQuote w:val="1"/>
          <w:marLeft w:val="720"/>
          <w:marRight w:val="720"/>
          <w:marTop w:val="100"/>
          <w:marBottom w:val="24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  <w:div w:id="929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tiken.dk/danmark/politik/kommunalvalg/art10591322/Dyk-ned-i-k&#230;mpestor-m&#229;ling-fra-98-kommu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2025-10-27T11:19:00Z</dcterms:created>
  <dcterms:modified xsi:type="dcterms:W3CDTF">2025-10-27T11:19:00Z</dcterms:modified>
</cp:coreProperties>
</file>