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D135" w14:textId="77777777" w:rsidR="00026289" w:rsidRPr="00026289" w:rsidRDefault="00026289" w:rsidP="00026289">
      <w:pPr>
        <w:spacing w:after="225" w:line="240" w:lineRule="auto"/>
        <w:ind w:left="-1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  <w14:ligatures w14:val="none"/>
        </w:rPr>
      </w:pPr>
      <w:r w:rsidRPr="000262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  <w14:ligatures w14:val="none"/>
        </w:rPr>
        <w:t>PÅ MEMPHIS STATION</w:t>
      </w:r>
    </w:p>
    <w:p w14:paraId="249FD7DD" w14:textId="77777777" w:rsidR="00026289" w:rsidRPr="00026289" w:rsidRDefault="00026289" w:rsidP="00026289">
      <w:pPr>
        <w:spacing w:after="0" w:line="240" w:lineRule="auto"/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</w:pP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Johannes V. Jensen, 1906, 1,54 ns.</w:t>
      </w:r>
    </w:p>
    <w:p w14:paraId="045CC9F6" w14:textId="77777777" w:rsidR="00AB697F" w:rsidRDefault="00026289" w:rsidP="00026289">
      <w:pPr>
        <w:spacing w:after="0" w:line="240" w:lineRule="auto"/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</w:pP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1)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Halvt vågen og halvt blundende,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slået af en klam virkelighed, men endnu borte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i en indre gus</w:t>
      </w:r>
      <w:r w:rsidR="00D0654C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1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af </w:t>
      </w:r>
      <w:proofErr w:type="spellStart"/>
      <w:r w:rsidR="00A82465">
        <w:fldChar w:fldCharType="begin"/>
      </w:r>
      <w:r w:rsidR="00A82465">
        <w:instrText>HYPERLINK "https://litteraturportalen.gyldendal.dk/null" \t "_blank"</w:instrText>
      </w:r>
      <w:r w:rsidR="00A82465">
        <w:fldChar w:fldCharType="separate"/>
      </w:r>
      <w:r w:rsidRPr="00026289">
        <w:rPr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t>danaidiske</w:t>
      </w:r>
      <w:proofErr w:type="spellEnd"/>
      <w:r w:rsidR="00A82465">
        <w:rPr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fldChar w:fldCharType="end"/>
      </w:r>
      <w:r w:rsidR="002155C7">
        <w:rPr>
          <w:rStyle w:val="Fodnotehenvisning"/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footnoteReference w:id="2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 drømme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står jeg og hakker tænder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på Memphis</w:t>
      </w:r>
      <w:r w:rsidR="00F10B6C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3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Station, </w:t>
      </w:r>
      <w:proofErr w:type="spellStart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Tennesee</w:t>
      </w:r>
      <w:proofErr w:type="spellEnd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Det regner.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2)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Natten er så øde og udslukt,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 regnen hudfletter</w:t>
      </w:r>
      <w:r w:rsidR="004D3787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4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jorden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med en vidløs</w:t>
      </w:r>
      <w:r w:rsidR="004D3787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5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, dunkel energi.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Alting er klægt</w:t>
      </w:r>
      <w:r w:rsidR="004D3787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6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og uigennemtrængeligt.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3)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Hvorfor holder toget her time efter time?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Hvorfor er min skæbne gået i stå her?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 xml:space="preserve">Skal jeg flygte for regnen og </w:t>
      </w:r>
      <w:proofErr w:type="spellStart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åndsfortærelsen</w:t>
      </w:r>
      <w:proofErr w:type="spellEnd"/>
      <w:r w:rsidR="00AD44C7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7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i Danmark, Indien og Japan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for at regne inde og rådne i Memphis,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proofErr w:type="spellStart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Tennesee</w:t>
      </w:r>
      <w:proofErr w:type="spellEnd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, USA?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4)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 nu dages det</w:t>
      </w:r>
      <w:r w:rsidR="00102506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8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. Lyset siver </w:t>
      </w:r>
      <w:proofErr w:type="spellStart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glædeløst</w:t>
      </w:r>
      <w:proofErr w:type="spellEnd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ind over dette våde fængsel.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Dagen blotter ubarmhjertigt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de kolde skinner og al den sorte søle</w:t>
      </w:r>
      <w:r w:rsidR="007B317F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9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ventesalen med chokoladeautomat,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appelsinskaller, cigar og tændstikstumper,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dagen griner igennem med spyende</w:t>
      </w:r>
      <w:r w:rsidR="00161A9A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10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tagrender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 et evigt gitter af regn,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regn, siger jeg fra himmel og til jord.</w:t>
      </w:r>
    </w:p>
    <w:p w14:paraId="23290B8F" w14:textId="4259692A" w:rsidR="00026289" w:rsidRPr="00026289" w:rsidRDefault="00026289" w:rsidP="00026289">
      <w:pPr>
        <w:spacing w:after="0" w:line="240" w:lineRule="auto"/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</w:pP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lastRenderedPageBreak/>
        <w:t>5)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Hvor verden er døv og uflyttelig,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hvor skaberen er talentløs!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 hvorfor bliver jeg ved at betale mit kontingent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til denne plebejiske</w:t>
      </w:r>
      <w:r w:rsidR="00AB697F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11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 </w:t>
      </w:r>
      <w:proofErr w:type="spellStart"/>
      <w:r w:rsidRPr="00026289">
        <w:rPr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t>kneippkur</w:t>
      </w:r>
      <w:proofErr w:type="spellEnd"/>
      <w:r w:rsidR="009B1E11">
        <w:rPr>
          <w:rStyle w:val="Fodnotehenvisning"/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footnoteReference w:id="12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 af en tilværelse!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6)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Stille! Se hvor maskinen,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den vældige tingest, står rolig og syder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 hyller sig i røg, den er tålmodig.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Tænd piben på fastende liv,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forband Gud og svælg</w:t>
      </w:r>
      <w:r w:rsidR="008A0095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13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din smerte!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7)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Gå så dog hen og bliv i Memphis!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Dit liv er jo alligevel ikke andet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end et surt regnvejr, og din skæbne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var altid at hænge forsinket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i en eller anden miserabel</w:t>
      </w:r>
      <w:r w:rsidR="00B271C4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14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ventesal –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 xml:space="preserve">Bliv i Memphis, </w:t>
      </w:r>
      <w:proofErr w:type="spellStart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Tennesee</w:t>
      </w:r>
      <w:proofErr w:type="spellEnd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8)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For inde i et af disse plakathujende</w:t>
      </w:r>
      <w:r w:rsidR="00980A7A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15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huse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venter lykken dig, lykken,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hvis blot du kan æde din utålmodighed –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også her sover en rund ung jomfru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med øret begravet i sit hår,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hun vil komme dig i møde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en fin dag på gaden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som en bølge af vellugt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med en mine som om hun kendte dig.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9)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Er det ikke forår?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Falder regnen ikke frodigt?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Lyder den ikke som en forelsket mumlen,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en lang dæmpet </w:t>
      </w:r>
      <w:r w:rsidRPr="00026289">
        <w:rPr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t>kærlighedspassiar</w:t>
      </w:r>
      <w:r w:rsidR="00854163">
        <w:rPr>
          <w:rStyle w:val="Fodnotehenvisning"/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footnoteReference w:id="16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mund mod mund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mellem regnen og jorden?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Dagen gryede så sorgfuldt,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men se nu lyser regnfaldet!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 xml:space="preserve">Under du ikke dagen dens </w:t>
      </w:r>
      <w:proofErr w:type="spellStart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kampret</w:t>
      </w:r>
      <w:proofErr w:type="spellEnd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?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lastRenderedPageBreak/>
        <w:t>Det er dog nu lyst. Og der slår muldlugt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ind mellem perronens rustne jernstivere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 xml:space="preserve">blandet med </w:t>
      </w:r>
      <w:proofErr w:type="spellStart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regnstøvets</w:t>
      </w:r>
      <w:proofErr w:type="spellEnd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ramme</w:t>
      </w:r>
      <w:r w:rsidR="0062096A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17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ånde –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En forårsanelse</w:t>
      </w:r>
      <w:r w:rsidR="006055E2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18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–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er det ikke trøstigt</w:t>
      </w:r>
      <w:r w:rsidR="00F17557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19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?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10)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 se nu, se hvor Mississippi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i sin seng af oversvømmede skove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vågner mod dagen!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Se hvor kæmpefloden nyder sin bugtning!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Hvor den flommer</w:t>
      </w:r>
      <w:r w:rsidR="004E0123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20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kongeligt i bue og svinger flåder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af træer og laset drivtømmer i sine hvirvler!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11)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Se hvor den fører en uhyre hjuldamper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i sin syndflodsfavn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som en danser, der er herre på gulvet!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Se de sunkne næs</w:t>
      </w:r>
      <w:r w:rsidR="00BC3DA6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21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– Oh hvilken </w:t>
      </w:r>
      <w:proofErr w:type="spellStart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urmægtig</w:t>
      </w:r>
      <w:proofErr w:type="spellEnd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ro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over landskabet af druknende skove!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Ser du ikke, hvor strømmens morgenvande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klæder sig milebredt med dagens tarvelige lys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 vandrer rundt under de svangre</w:t>
      </w:r>
      <w:r w:rsidR="007C6B63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22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skyer!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12)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Fat dig også du, uforsonlige!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Vil du aldrig glemme, at man lovede dig evigheden?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Forholder</w:t>
      </w:r>
      <w:r w:rsidR="00AB76B0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23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du jorden din arme taknemlighed?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Hvad vil du da med dit elskerhjerte?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13)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Fat dig og bliv i Memphis,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meld dig som borger på torvet,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gå ind og </w:t>
      </w:r>
      <w:r w:rsidRPr="00026289">
        <w:rPr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t>livsassurer</w:t>
      </w:r>
      <w:r w:rsidR="00697651">
        <w:rPr>
          <w:rStyle w:val="Fodnotehenvisning"/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footnoteReference w:id="24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 dig imellem de andre,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betal din præmie af </w:t>
      </w:r>
      <w:r w:rsidRPr="00026289">
        <w:rPr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t>lumpenhed</w:t>
      </w:r>
      <w:r w:rsidR="00277AAE">
        <w:rPr>
          <w:rStyle w:val="Fodnotehenvisning"/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footnoteReference w:id="25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at de kan vide sig sikre for dig,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 du ikke skal blive hældt ud af foreningen.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Gør kur til hin</w:t>
      </w:r>
      <w:r w:rsidR="008E15AD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26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jomfru med roser og guldring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lastRenderedPageBreak/>
        <w:t>og start et savskæreri som andre mennesker.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Hank rolig op i gummistøvlerne ...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Se dig ud, smøg din vise pibe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 xml:space="preserve">i </w:t>
      </w:r>
      <w:proofErr w:type="spellStart"/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sfinxforladte</w:t>
      </w:r>
      <w:proofErr w:type="spellEnd"/>
      <w:r w:rsidR="0065724E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27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Memphis ...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14)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Ah, der kommer det elendige godstog,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som vi har ventet på i seks timer.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Det kommer langsomt ind – med knuste sider,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det pifter svagt, vognene lammer på tre hjul,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 de sprængte ruf</w:t>
      </w:r>
      <w:r w:rsidR="0051289F">
        <w:rPr>
          <w:rStyle w:val="Fodnotehenvisning"/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footnoteReference w:id="28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 xml:space="preserve"> drypper af jord og slam.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Men på </w:t>
      </w:r>
      <w:r w:rsidRPr="00026289">
        <w:rPr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t>tenderen</w:t>
      </w:r>
      <w:r w:rsidR="00632027">
        <w:rPr>
          <w:rStyle w:val="Fodnotehenvisning"/>
          <w:rFonts w:ascii="Arial" w:eastAsia="Times New Roman" w:hAnsi="Arial" w:cs="Times New Roman"/>
          <w:color w:val="1E735C"/>
          <w:kern w:val="0"/>
          <w:sz w:val="24"/>
          <w:szCs w:val="24"/>
          <w:lang w:eastAsia="da-DK"/>
          <w14:ligatures w14:val="none"/>
        </w:rPr>
        <w:footnoteReference w:id="29"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t> mellem kullene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ligger fire stille skikkelser,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dækket af blodvåde frakker.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Da pruster vor store ekspresmaskine,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går lidt frem og standser dybt sukkende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 står færdig til spring. Sporet er frit.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15)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Og vi rejser videre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gennem de oversvømmede skove</w:t>
      </w:r>
      <w:r w:rsidRPr="00026289">
        <w:rPr>
          <w:rFonts w:ascii="Arial" w:eastAsia="Times New Roman" w:hAnsi="Arial" w:cs="Times New Roman"/>
          <w:color w:val="383838"/>
          <w:kern w:val="0"/>
          <w:sz w:val="24"/>
          <w:szCs w:val="24"/>
          <w:lang w:eastAsia="da-DK"/>
          <w14:ligatures w14:val="none"/>
        </w:rPr>
        <w:br/>
        <w:t>under regnens gabende sluser.</w:t>
      </w:r>
    </w:p>
    <w:p w14:paraId="78AD315B" w14:textId="77777777" w:rsidR="00026289" w:rsidRDefault="00026289"/>
    <w:sectPr w:rsidR="000262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6FEA" w14:textId="77777777" w:rsidR="00D0654C" w:rsidRDefault="00D0654C" w:rsidP="00D0654C">
      <w:pPr>
        <w:spacing w:after="0" w:line="240" w:lineRule="auto"/>
      </w:pPr>
      <w:r>
        <w:separator/>
      </w:r>
    </w:p>
  </w:endnote>
  <w:endnote w:type="continuationSeparator" w:id="0">
    <w:p w14:paraId="2B06EA34" w14:textId="77777777" w:rsidR="00D0654C" w:rsidRDefault="00D0654C" w:rsidP="00D0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03F9" w14:textId="77777777" w:rsidR="00D0654C" w:rsidRDefault="00D0654C" w:rsidP="00D0654C">
      <w:pPr>
        <w:spacing w:after="0" w:line="240" w:lineRule="auto"/>
      </w:pPr>
      <w:r>
        <w:separator/>
      </w:r>
    </w:p>
  </w:footnote>
  <w:footnote w:type="continuationSeparator" w:id="0">
    <w:p w14:paraId="1B64F7E5" w14:textId="77777777" w:rsidR="00D0654C" w:rsidRDefault="00D0654C" w:rsidP="00D0654C">
      <w:pPr>
        <w:spacing w:after="0" w:line="240" w:lineRule="auto"/>
      </w:pPr>
      <w:r>
        <w:continuationSeparator/>
      </w:r>
    </w:p>
  </w:footnote>
  <w:footnote w:id="1">
    <w:p w14:paraId="1CF11784" w14:textId="7718CC24" w:rsidR="00D0654C" w:rsidRDefault="00D0654C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2155C7">
        <w:t>Gus: tåge</w:t>
      </w:r>
    </w:p>
  </w:footnote>
  <w:footnote w:id="2">
    <w:p w14:paraId="7BEBA36A" w14:textId="72D3AF60" w:rsidR="002155C7" w:rsidRDefault="002155C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 w:rsidR="00F10B6C">
        <w:t>danaidiske</w:t>
      </w:r>
      <w:proofErr w:type="spellEnd"/>
      <w:r w:rsidR="00F10B6C">
        <w:t>: frugtesløse; i græsk mytologi skal kong Danaos’ døtre som straf for drabet på deres mænd fylde et bundløst kar med vand.</w:t>
      </w:r>
    </w:p>
  </w:footnote>
  <w:footnote w:id="3">
    <w:p w14:paraId="318E214B" w14:textId="704103B9" w:rsidR="00F10B6C" w:rsidRDefault="00F10B6C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4D3787" w:rsidRPr="00877419">
        <w:t>Memphis: stationsby ved Mississippifloden i Tennessee I USA.</w:t>
      </w:r>
    </w:p>
  </w:footnote>
  <w:footnote w:id="4">
    <w:p w14:paraId="4206AAEC" w14:textId="6357CE70" w:rsidR="004D3787" w:rsidRDefault="004D3787">
      <w:pPr>
        <w:pStyle w:val="Fodnotetekst"/>
      </w:pPr>
      <w:r>
        <w:rPr>
          <w:rStyle w:val="Fodnotehenvisning"/>
        </w:rPr>
        <w:footnoteRef/>
      </w:r>
      <w:r>
        <w:t xml:space="preserve"> Hudflette: piske.</w:t>
      </w:r>
    </w:p>
  </w:footnote>
  <w:footnote w:id="5">
    <w:p w14:paraId="311E3978" w14:textId="37D4373C" w:rsidR="004D3787" w:rsidRDefault="004D3787">
      <w:pPr>
        <w:pStyle w:val="Fodnotetekst"/>
      </w:pPr>
      <w:r>
        <w:rPr>
          <w:rStyle w:val="Fodnotehenvisning"/>
        </w:rPr>
        <w:footnoteRef/>
      </w:r>
      <w:r>
        <w:t xml:space="preserve"> Vidløs: tankeløs.</w:t>
      </w:r>
    </w:p>
  </w:footnote>
  <w:footnote w:id="6">
    <w:p w14:paraId="63811BFA" w14:textId="587BEEE2" w:rsidR="004D3787" w:rsidRDefault="004D3787">
      <w:pPr>
        <w:pStyle w:val="Fodnotetekst"/>
      </w:pPr>
      <w:r>
        <w:rPr>
          <w:rStyle w:val="Fodnotehenvisning"/>
        </w:rPr>
        <w:footnoteRef/>
      </w:r>
      <w:r>
        <w:t xml:space="preserve"> Klægt: </w:t>
      </w:r>
      <w:r w:rsidR="00E269E6">
        <w:t>fugtigt og klæbrigt.</w:t>
      </w:r>
    </w:p>
  </w:footnote>
  <w:footnote w:id="7">
    <w:p w14:paraId="0CAB0983" w14:textId="1DC7B349" w:rsidR="00AD44C7" w:rsidRDefault="00AD44C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 w:rsidR="005C2425">
        <w:t>Aandsfortærelse</w:t>
      </w:r>
      <w:proofErr w:type="spellEnd"/>
      <w:r w:rsidR="005C2425">
        <w:t xml:space="preserve">: ord sammensat af ånd og </w:t>
      </w:r>
      <w:proofErr w:type="spellStart"/>
      <w:r w:rsidR="005C2425">
        <w:t>fortærelse</w:t>
      </w:r>
      <w:proofErr w:type="spellEnd"/>
      <w:r w:rsidR="005C2425">
        <w:t>: opbruge dvs. noget, der æder ånden op.</w:t>
      </w:r>
    </w:p>
  </w:footnote>
  <w:footnote w:id="8">
    <w:p w14:paraId="5A4D635F" w14:textId="4B9756CB" w:rsidR="00102506" w:rsidRDefault="0010250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FC4A4C">
        <w:t>Nu dages det: Nu bliver det dag.</w:t>
      </w:r>
    </w:p>
  </w:footnote>
  <w:footnote w:id="9">
    <w:p w14:paraId="323B0FBA" w14:textId="3BF0F82E" w:rsidR="007B317F" w:rsidRDefault="007B317F">
      <w:pPr>
        <w:pStyle w:val="Fodnotetekst"/>
      </w:pPr>
      <w:r>
        <w:rPr>
          <w:rStyle w:val="Fodnotehenvisning"/>
        </w:rPr>
        <w:footnoteRef/>
      </w:r>
      <w:r>
        <w:t xml:space="preserve"> Søle: </w:t>
      </w:r>
      <w:r w:rsidR="000C7D81">
        <w:t>sjask, mudder.</w:t>
      </w:r>
    </w:p>
  </w:footnote>
  <w:footnote w:id="10">
    <w:p w14:paraId="41342039" w14:textId="44BC539F" w:rsidR="00161A9A" w:rsidRDefault="00161A9A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D62182">
        <w:t xml:space="preserve">Spyende: </w:t>
      </w:r>
      <w:r w:rsidR="00D62182">
        <w:t>sprøjtende</w:t>
      </w:r>
    </w:p>
  </w:footnote>
  <w:footnote w:id="11">
    <w:p w14:paraId="3DA4BBEE" w14:textId="462EC39E" w:rsidR="00AB697F" w:rsidRDefault="00AB697F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9B1E11">
        <w:t>plebejiske: pøbelagtige, simple</w:t>
      </w:r>
      <w:r w:rsidR="00980A7A">
        <w:t>.</w:t>
      </w:r>
    </w:p>
  </w:footnote>
  <w:footnote w:id="12">
    <w:p w14:paraId="21E441D9" w14:textId="3C593ABA" w:rsidR="009B1E11" w:rsidRDefault="009B1E11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 w:rsidR="008A0095">
        <w:t>Kneippkur</w:t>
      </w:r>
      <w:proofErr w:type="spellEnd"/>
      <w:r w:rsidR="008A0095">
        <w:t xml:space="preserve">: diæt- og </w:t>
      </w:r>
      <w:proofErr w:type="spellStart"/>
      <w:r w:rsidR="008A0095">
        <w:t>vandkur</w:t>
      </w:r>
      <w:proofErr w:type="spellEnd"/>
      <w:r w:rsidR="008A0095">
        <w:t xml:space="preserve"> opkaldt efter den tyske læge Sebastian </w:t>
      </w:r>
      <w:proofErr w:type="spellStart"/>
      <w:r w:rsidR="008A0095">
        <w:t>Kneipp</w:t>
      </w:r>
      <w:proofErr w:type="spellEnd"/>
      <w:r w:rsidR="00980A7A">
        <w:t>.</w:t>
      </w:r>
    </w:p>
  </w:footnote>
  <w:footnote w:id="13">
    <w:p w14:paraId="718C3E62" w14:textId="39141E5E" w:rsidR="008A0095" w:rsidRDefault="008A0095">
      <w:pPr>
        <w:pStyle w:val="Fodnotetekst"/>
      </w:pPr>
      <w:r>
        <w:rPr>
          <w:rStyle w:val="Fodnotehenvisning"/>
        </w:rPr>
        <w:footnoteRef/>
      </w:r>
      <w:r>
        <w:t xml:space="preserve"> Svælg: slug</w:t>
      </w:r>
      <w:r w:rsidR="00BC3DA6">
        <w:t>, synk</w:t>
      </w:r>
      <w:r w:rsidR="00980A7A">
        <w:t>.</w:t>
      </w:r>
    </w:p>
  </w:footnote>
  <w:footnote w:id="14">
    <w:p w14:paraId="6CA6D369" w14:textId="3EF45298" w:rsidR="00B271C4" w:rsidRDefault="00B271C4">
      <w:pPr>
        <w:pStyle w:val="Fodnotetekst"/>
      </w:pPr>
      <w:r>
        <w:rPr>
          <w:rStyle w:val="Fodnotehenvisning"/>
        </w:rPr>
        <w:footnoteRef/>
      </w:r>
      <w:r>
        <w:t xml:space="preserve"> Miserabel: </w:t>
      </w:r>
      <w:r w:rsidR="00980A7A">
        <w:t>elendig.</w:t>
      </w:r>
    </w:p>
  </w:footnote>
  <w:footnote w:id="15">
    <w:p w14:paraId="007AC2B1" w14:textId="4986F34D" w:rsidR="00980A7A" w:rsidRDefault="00980A7A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854163">
        <w:t>Hujende: som råber højt.</w:t>
      </w:r>
    </w:p>
  </w:footnote>
  <w:footnote w:id="16">
    <w:p w14:paraId="38B17AC8" w14:textId="7F3557C3" w:rsidR="00854163" w:rsidRDefault="0085416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6A62D1">
        <w:t>Passiar: samtale.</w:t>
      </w:r>
    </w:p>
  </w:footnote>
  <w:footnote w:id="17">
    <w:p w14:paraId="2E4A73C9" w14:textId="2FA6E0C8" w:rsidR="0062096A" w:rsidRDefault="0062096A">
      <w:pPr>
        <w:pStyle w:val="Fodnotetekst"/>
      </w:pPr>
      <w:r>
        <w:rPr>
          <w:rStyle w:val="Fodnotehenvisning"/>
        </w:rPr>
        <w:footnoteRef/>
      </w:r>
      <w:r>
        <w:t xml:space="preserve"> Ramme: skarpe, beske.</w:t>
      </w:r>
    </w:p>
  </w:footnote>
  <w:footnote w:id="18">
    <w:p w14:paraId="5228F17A" w14:textId="40BE278B" w:rsidR="006055E2" w:rsidRDefault="006055E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 w:rsidR="00F17557">
        <w:t>Foraaranelse</w:t>
      </w:r>
      <w:proofErr w:type="spellEnd"/>
      <w:r w:rsidR="00F17557">
        <w:t>: en anelse, dvs. en fornemmelse for, at foråret kommer</w:t>
      </w:r>
    </w:p>
  </w:footnote>
  <w:footnote w:id="19">
    <w:p w14:paraId="6FCA00B5" w14:textId="4DBCAAA5" w:rsidR="00F17557" w:rsidRDefault="00F1755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845020">
        <w:t>T</w:t>
      </w:r>
      <w:r w:rsidR="00845020">
        <w:t>røstigt: ufortrødent som fortsætter</w:t>
      </w:r>
      <w:r w:rsidR="00845020">
        <w:t>, optimistisk.</w:t>
      </w:r>
    </w:p>
  </w:footnote>
  <w:footnote w:id="20">
    <w:p w14:paraId="1A841D16" w14:textId="7370D879" w:rsidR="00F753C6" w:rsidRDefault="004E012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F753C6">
        <w:t>Flommer: flyder</w:t>
      </w:r>
      <w:r w:rsidR="00533DD3">
        <w:t xml:space="preserve"> (f.eks. at flyde over sine breder)</w:t>
      </w:r>
      <w:r w:rsidR="00F753C6">
        <w:t>.</w:t>
      </w:r>
    </w:p>
  </w:footnote>
  <w:footnote w:id="21">
    <w:p w14:paraId="01305389" w14:textId="2129DE6E" w:rsidR="00BC3DA6" w:rsidRDefault="00981721">
      <w:pPr>
        <w:pStyle w:val="Fodnotetekst"/>
      </w:pPr>
      <w:r>
        <w:rPr>
          <w:rStyle w:val="Fodnotehenvisning"/>
        </w:rPr>
        <w:footnoteRef/>
      </w:r>
      <w:r w:rsidR="00BC3DA6">
        <w:t xml:space="preserve"> Næs: </w:t>
      </w:r>
      <w:r w:rsidR="006B2F35">
        <w:t>landområder</w:t>
      </w:r>
      <w:r w:rsidR="00D66647">
        <w:t>.</w:t>
      </w:r>
    </w:p>
  </w:footnote>
  <w:footnote w:id="22">
    <w:p w14:paraId="34891CC1" w14:textId="376F27E9" w:rsidR="007C6B63" w:rsidRDefault="007C6B6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AB76B0">
        <w:t>S</w:t>
      </w:r>
      <w:r w:rsidR="00AB76B0">
        <w:t>vanger: gravid, frugtsommelig</w:t>
      </w:r>
      <w:r w:rsidR="00AB76B0">
        <w:t>.</w:t>
      </w:r>
    </w:p>
  </w:footnote>
  <w:footnote w:id="23">
    <w:p w14:paraId="3E35812A" w14:textId="62A94849" w:rsidR="00AB76B0" w:rsidRDefault="00AB76B0">
      <w:pPr>
        <w:pStyle w:val="Fodnotetekst"/>
      </w:pPr>
      <w:r>
        <w:rPr>
          <w:rStyle w:val="Fodnotehenvisning"/>
        </w:rPr>
        <w:footnoteRef/>
      </w:r>
      <w:r>
        <w:t xml:space="preserve"> Forholde: nægte.</w:t>
      </w:r>
    </w:p>
  </w:footnote>
  <w:footnote w:id="24">
    <w:p w14:paraId="760E3A84" w14:textId="4921F286" w:rsidR="00697651" w:rsidRDefault="00697651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D770C8">
        <w:t>L</w:t>
      </w:r>
      <w:r w:rsidR="00D770C8">
        <w:t>ivsassurer: tegn en livsforsikring.</w:t>
      </w:r>
    </w:p>
  </w:footnote>
  <w:footnote w:id="25">
    <w:p w14:paraId="7D17E4B9" w14:textId="2686C8C1" w:rsidR="00277AAE" w:rsidRDefault="00277AA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t>Lumpenhed: tarvelighed</w:t>
      </w:r>
      <w:r>
        <w:t>.</w:t>
      </w:r>
    </w:p>
  </w:footnote>
  <w:footnote w:id="26">
    <w:p w14:paraId="15213FAB" w14:textId="7CBFC086" w:rsidR="008E15AD" w:rsidRDefault="008E15A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t>hin: den</w:t>
      </w:r>
    </w:p>
  </w:footnote>
  <w:footnote w:id="27">
    <w:p w14:paraId="5E060098" w14:textId="16FD3CE8" w:rsidR="0065724E" w:rsidRDefault="0065724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t>S</w:t>
      </w:r>
      <w:r>
        <w:t>phinxforladte</w:t>
      </w:r>
      <w:proofErr w:type="spellEnd"/>
      <w:r>
        <w:t xml:space="preserve"> Memphis: Memphis er opkaldt efter byen Memphis i Ægypten, hvor der i modsætning til byen i USA findes en sfinks, som i antik mytologi forbindes med noget gådefuldt.</w:t>
      </w:r>
    </w:p>
  </w:footnote>
  <w:footnote w:id="28">
    <w:p w14:paraId="4F534E95" w14:textId="7E00A0E1" w:rsidR="0051289F" w:rsidRDefault="0051289F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t>Ruf: her formodentlig udkigs- og bremsehuse på togvognene.</w:t>
      </w:r>
    </w:p>
  </w:footnote>
  <w:footnote w:id="29">
    <w:p w14:paraId="7B244539" w14:textId="728AAC99" w:rsidR="00632027" w:rsidRDefault="00632027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6706EA">
        <w:t>Tender: damplokomotivets kulvogn</w:t>
      </w:r>
      <w:r w:rsidR="006706E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89"/>
    <w:rsid w:val="00026289"/>
    <w:rsid w:val="000C7D81"/>
    <w:rsid w:val="00102506"/>
    <w:rsid w:val="00161A9A"/>
    <w:rsid w:val="002155C7"/>
    <w:rsid w:val="00277AAE"/>
    <w:rsid w:val="002879D1"/>
    <w:rsid w:val="004051BA"/>
    <w:rsid w:val="0049061E"/>
    <w:rsid w:val="004C0D62"/>
    <w:rsid w:val="004D3787"/>
    <w:rsid w:val="004E0123"/>
    <w:rsid w:val="0051289F"/>
    <w:rsid w:val="00533DD3"/>
    <w:rsid w:val="005C2425"/>
    <w:rsid w:val="006055E2"/>
    <w:rsid w:val="0062096A"/>
    <w:rsid w:val="00632027"/>
    <w:rsid w:val="0065724E"/>
    <w:rsid w:val="006706EA"/>
    <w:rsid w:val="00697651"/>
    <w:rsid w:val="006A62D1"/>
    <w:rsid w:val="006B2F35"/>
    <w:rsid w:val="007B317F"/>
    <w:rsid w:val="007C6B63"/>
    <w:rsid w:val="00845020"/>
    <w:rsid w:val="00854163"/>
    <w:rsid w:val="008A0095"/>
    <w:rsid w:val="008E15AD"/>
    <w:rsid w:val="00980A7A"/>
    <w:rsid w:val="00981721"/>
    <w:rsid w:val="009B1E11"/>
    <w:rsid w:val="00A82465"/>
    <w:rsid w:val="00AA7A6C"/>
    <w:rsid w:val="00AB697F"/>
    <w:rsid w:val="00AB76B0"/>
    <w:rsid w:val="00AD44C7"/>
    <w:rsid w:val="00B271C4"/>
    <w:rsid w:val="00BC3DA6"/>
    <w:rsid w:val="00D0654C"/>
    <w:rsid w:val="00D62182"/>
    <w:rsid w:val="00D66647"/>
    <w:rsid w:val="00D770C8"/>
    <w:rsid w:val="00DC044B"/>
    <w:rsid w:val="00E269E6"/>
    <w:rsid w:val="00F10B6C"/>
    <w:rsid w:val="00F17557"/>
    <w:rsid w:val="00F753C6"/>
    <w:rsid w:val="00F97040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FF6F"/>
  <w15:chartTrackingRefBased/>
  <w15:docId w15:val="{81B87DBE-0484-48AE-B0B8-F196F457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26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6289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gglossarywordword">
    <w:name w:val="gglossaryword__word"/>
    <w:basedOn w:val="Standardskrifttypeiafsnit"/>
    <w:rsid w:val="00026289"/>
  </w:style>
  <w:style w:type="paragraph" w:styleId="Fodnotetekst">
    <w:name w:val="footnote text"/>
    <w:basedOn w:val="Normal"/>
    <w:link w:val="FodnotetekstTegn"/>
    <w:uiPriority w:val="99"/>
    <w:semiHidden/>
    <w:unhideWhenUsed/>
    <w:rsid w:val="00D0654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0654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06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7FCBD-7239-4D8F-A4E3-CEF89F95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2025-12-08T13:50:00Z</dcterms:created>
  <dcterms:modified xsi:type="dcterms:W3CDTF">2025-12-08T13:50:00Z</dcterms:modified>
</cp:coreProperties>
</file>