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2F68" w14:textId="52D10724" w:rsidR="00C513CB" w:rsidRPr="00C513CB" w:rsidRDefault="00C513CB" w:rsidP="00C513CB">
      <w:pPr>
        <w:spacing w:line="360" w:lineRule="auto"/>
        <w:rPr>
          <w:b/>
          <w:bCs/>
          <w:sz w:val="24"/>
          <w:szCs w:val="24"/>
        </w:rPr>
      </w:pPr>
      <w:r w:rsidRPr="00C513CB">
        <w:rPr>
          <w:b/>
          <w:bCs/>
          <w:sz w:val="24"/>
          <w:szCs w:val="24"/>
        </w:rPr>
        <w:t xml:space="preserve">Seneca </w:t>
      </w:r>
      <w:proofErr w:type="gramStart"/>
      <w:r w:rsidRPr="00C513CB">
        <w:rPr>
          <w:b/>
          <w:bCs/>
          <w:sz w:val="24"/>
          <w:szCs w:val="24"/>
        </w:rPr>
        <w:t>54 :</w:t>
      </w:r>
      <w:proofErr w:type="gramEnd"/>
      <w:r w:rsidRPr="00C513CB">
        <w:rPr>
          <w:b/>
          <w:bCs/>
          <w:sz w:val="24"/>
          <w:szCs w:val="24"/>
        </w:rPr>
        <w:t xml:space="preserve"> Brev om astma</w:t>
      </w:r>
    </w:p>
    <w:p w14:paraId="09BFC1F9" w14:textId="3F7E7B5F" w:rsidR="00C513CB" w:rsidRDefault="00C513CB" w:rsidP="00C513CB">
      <w:pPr>
        <w:pStyle w:val="Listeafsnit"/>
        <w:spacing w:line="360" w:lineRule="auto"/>
        <w:ind w:left="360"/>
        <w:rPr>
          <w:sz w:val="24"/>
          <w:szCs w:val="24"/>
        </w:rPr>
      </w:pPr>
      <w:r>
        <w:rPr>
          <w:sz w:val="24"/>
          <w:szCs w:val="24"/>
        </w:rPr>
        <w:t xml:space="preserve">(1) </w:t>
      </w:r>
      <w:r w:rsidRPr="00C513CB">
        <w:rPr>
          <w:sz w:val="24"/>
          <w:szCs w:val="24"/>
        </w:rPr>
        <w:t xml:space="preserve">Min sygdom havde givet mig fri i lang tid. Du vil vide hvilken. Det er helt rimeligt, du spørger. Jeg har jo prøvet dem alle sammen. Der er dog én sygdom, der ligesom er blevet min. Jeg kan ikke se, man behøver at bruge dens græske navn, for den kan lige så godt kaldes åndedrætsbesvær. Anfaldet er meget kortvarigt og som et vindstød. Det er ovre efter en times tid. Hvem er nemlig lang tid om at udånde? </w:t>
      </w:r>
    </w:p>
    <w:p w14:paraId="52AF3B60" w14:textId="77777777" w:rsidR="00C513CB" w:rsidRDefault="00C513CB" w:rsidP="00C513CB">
      <w:pPr>
        <w:spacing w:line="360" w:lineRule="auto"/>
        <w:ind w:left="360"/>
        <w:rPr>
          <w:sz w:val="24"/>
          <w:szCs w:val="24"/>
        </w:rPr>
      </w:pPr>
      <w:r w:rsidRPr="00C513CB">
        <w:rPr>
          <w:sz w:val="24"/>
          <w:szCs w:val="24"/>
        </w:rPr>
        <w:t xml:space="preserve">(2) Jeg var udsat for alle mulige fysiske ubehag og farer. Det er det værste, jeg ved. Hvorfor? Jo, alle andre lidelser er bare sygdom, denne her er at presse livsånden ud. Derfor kalder lægerne den også for ‘indøvelse i døden’, for </w:t>
      </w:r>
      <w:proofErr w:type="gramStart"/>
      <w:r w:rsidRPr="00C513CB">
        <w:rPr>
          <w:sz w:val="24"/>
          <w:szCs w:val="24"/>
        </w:rPr>
        <w:t>engang</w:t>
      </w:r>
      <w:proofErr w:type="gramEnd"/>
      <w:r w:rsidRPr="00C513CB">
        <w:rPr>
          <w:sz w:val="24"/>
          <w:szCs w:val="24"/>
        </w:rPr>
        <w:t xml:space="preserve"> imellem gør åndedrættet alvor af det, som det så ofte har forsøgt. </w:t>
      </w:r>
    </w:p>
    <w:p w14:paraId="50414452" w14:textId="77777777" w:rsidR="00C513CB" w:rsidRDefault="00C513CB" w:rsidP="00C513CB">
      <w:pPr>
        <w:spacing w:line="360" w:lineRule="auto"/>
        <w:ind w:left="360"/>
        <w:rPr>
          <w:sz w:val="24"/>
          <w:szCs w:val="24"/>
        </w:rPr>
      </w:pPr>
      <w:r w:rsidRPr="00C513CB">
        <w:rPr>
          <w:sz w:val="24"/>
          <w:szCs w:val="24"/>
        </w:rPr>
        <w:t xml:space="preserve">(3) Tror du, jeg skriver dette til dig, fordi jeg er glad for at være sluppet fri? Hvis jeg glæder mig over denne udgang som over et godt helbred, opfører jeg mig lige så latterligt som den, der tror, han har vundet en sag, når han har fået udsat retsmødet. Jeg for mit vedkommende finder selv midt i kvælningsanfaldet til stadighed ro i glade og stærke tanker. </w:t>
      </w:r>
    </w:p>
    <w:p w14:paraId="1F01B51C" w14:textId="77777777" w:rsidR="00C513CB" w:rsidRDefault="00C513CB" w:rsidP="00C513CB">
      <w:pPr>
        <w:spacing w:line="360" w:lineRule="auto"/>
        <w:ind w:left="360"/>
        <w:rPr>
          <w:sz w:val="24"/>
          <w:szCs w:val="24"/>
        </w:rPr>
      </w:pPr>
      <w:r w:rsidRPr="00C513CB">
        <w:rPr>
          <w:sz w:val="24"/>
          <w:szCs w:val="24"/>
        </w:rPr>
        <w:t xml:space="preserve">(4) ‘Hvad for noget?’ siger jeg. ‘Prøver døden mig af så ofte?’ Lad den bare. Jeg har allerede for længst prøvet den. ‘Hvornår?’ spørger du. Før jeg blev født. Døden er ikke at være til. Hvordan det er, det ved jeg allerede. Der vil være det efter mig, som var før mig. Hvis der er nogen pinsel i det, må der nødvendigvis også have været det, før vi kom til verden, men vi mærkede ikke nogen smerte dengang. </w:t>
      </w:r>
    </w:p>
    <w:p w14:paraId="184A7F76" w14:textId="77777777" w:rsidR="00C513CB" w:rsidRDefault="00C513CB" w:rsidP="00C513CB">
      <w:pPr>
        <w:spacing w:line="360" w:lineRule="auto"/>
        <w:ind w:left="360"/>
        <w:rPr>
          <w:sz w:val="24"/>
          <w:szCs w:val="24"/>
        </w:rPr>
      </w:pPr>
      <w:r w:rsidRPr="00C513CB">
        <w:rPr>
          <w:sz w:val="24"/>
          <w:szCs w:val="24"/>
        </w:rPr>
        <w:t xml:space="preserve">(5) Vil du ikke anse det for fuldstændig tåbeligt, om jeg må spørge, hvis man mener, at det er værre for en lampe, når den er slukket, end før den bliver tændt? Vi bliver også både slukket og tændt. I den mellemliggende tid er vi udsat for lidelser, men på begge sider er der dyb tryghed. Hvis ikke jeg tager fejl, er det en vildfarelse at mene, at døden kommer i fremtiden, da den både er gået forud for os og vil komme. Alt før os er død. Hvad er forskellen nemlig på ikke at være begyndt og at slutte, når virkningen af begge dele er ikke at være til? </w:t>
      </w:r>
    </w:p>
    <w:p w14:paraId="264E3050" w14:textId="77777777" w:rsidR="00C513CB" w:rsidRDefault="00C513CB" w:rsidP="00C513CB">
      <w:pPr>
        <w:spacing w:line="360" w:lineRule="auto"/>
        <w:ind w:left="360"/>
        <w:rPr>
          <w:sz w:val="24"/>
          <w:szCs w:val="24"/>
        </w:rPr>
      </w:pPr>
      <w:r>
        <w:rPr>
          <w:sz w:val="24"/>
          <w:szCs w:val="24"/>
        </w:rPr>
        <w:lastRenderedPageBreak/>
        <w:t>(</w:t>
      </w:r>
      <w:r w:rsidRPr="00C513CB">
        <w:rPr>
          <w:sz w:val="24"/>
          <w:szCs w:val="24"/>
        </w:rPr>
        <w:t>6</w:t>
      </w:r>
      <w:r>
        <w:rPr>
          <w:sz w:val="24"/>
          <w:szCs w:val="24"/>
        </w:rPr>
        <w:t>)</w:t>
      </w:r>
      <w:r w:rsidRPr="00C513CB">
        <w:rPr>
          <w:sz w:val="24"/>
          <w:szCs w:val="24"/>
        </w:rPr>
        <w:t xml:space="preserve"> Med disse og lignende opmuntringer (naturligvis tavse, for jeg kunne ikke sige noget) talte jeg uophørligt til mig selv. Derefter holdt åndedrætsbesværet, som nu var ved at blive til en stønnen, længere pauser og trak sig tilbage. Det blev dog ved, og selv om det er holdt op nu, trækker jeg stadig ikke vejret naturligt. Jeg fornemmer, det hænger ved og bare er udsat. Det må gøre, som det vil, når blot sjælen ikke stønner. </w:t>
      </w:r>
    </w:p>
    <w:p w14:paraId="12DD44D9" w14:textId="77777777" w:rsidR="00C513CB" w:rsidRDefault="00C513CB" w:rsidP="00C513CB">
      <w:pPr>
        <w:spacing w:line="360" w:lineRule="auto"/>
        <w:ind w:left="360"/>
        <w:rPr>
          <w:sz w:val="24"/>
          <w:szCs w:val="24"/>
        </w:rPr>
      </w:pPr>
      <w:r w:rsidRPr="00C513CB">
        <w:rPr>
          <w:sz w:val="24"/>
          <w:szCs w:val="24"/>
        </w:rPr>
        <w:t xml:space="preserve">(7) Om mig skal du vide: Jeg vil ikke skælve i den sidste stund, er allerede forberedt og planlægger ikke en hel dag ad gangen. Den, du skal prise og efterligne, er ham, som ikke er ked af at dø, selv om han er glad for at leve. For hvilken dyd er der i at gå, når man bliver smidt ud? Men der er dog også en dyd i den situation: Jeg bliver ganske vist smidt ud, men som om jeg går. Den </w:t>
      </w:r>
      <w:proofErr w:type="spellStart"/>
      <w:r w:rsidRPr="00C513CB">
        <w:rPr>
          <w:sz w:val="24"/>
          <w:szCs w:val="24"/>
        </w:rPr>
        <w:t>viise</w:t>
      </w:r>
      <w:proofErr w:type="spellEnd"/>
      <w:r w:rsidRPr="00C513CB">
        <w:rPr>
          <w:sz w:val="24"/>
          <w:szCs w:val="24"/>
        </w:rPr>
        <w:t xml:space="preserve"> bliver aldrig smidt ud, eftersom det at blive smidt ud er at blive drevet væk fra et sted, man forlader mod sin vilje. Den </w:t>
      </w:r>
      <w:proofErr w:type="spellStart"/>
      <w:r w:rsidRPr="00C513CB">
        <w:rPr>
          <w:sz w:val="24"/>
          <w:szCs w:val="24"/>
        </w:rPr>
        <w:t>viise</w:t>
      </w:r>
      <w:proofErr w:type="spellEnd"/>
      <w:r w:rsidRPr="00C513CB">
        <w:rPr>
          <w:sz w:val="24"/>
          <w:szCs w:val="24"/>
        </w:rPr>
        <w:t xml:space="preserve"> gør ingenting mod sin vilje. Han undgår tvang ved at ville det, han bliver tvunget til. </w:t>
      </w:r>
    </w:p>
    <w:p w14:paraId="45DC02AE" w14:textId="6A0D14A1" w:rsidR="00C513CB" w:rsidRDefault="00C513CB" w:rsidP="00C513CB">
      <w:pPr>
        <w:spacing w:line="360" w:lineRule="auto"/>
        <w:ind w:left="360"/>
        <w:rPr>
          <w:sz w:val="24"/>
          <w:szCs w:val="24"/>
        </w:rPr>
      </w:pPr>
      <w:r w:rsidRPr="00C513CB">
        <w:rPr>
          <w:sz w:val="24"/>
          <w:szCs w:val="24"/>
        </w:rPr>
        <w:t xml:space="preserve">Hav det godt </w:t>
      </w:r>
    </w:p>
    <w:p w14:paraId="21A72CE4" w14:textId="1F0F0F29" w:rsidR="00020733" w:rsidRPr="00B4033D" w:rsidRDefault="00B4033D" w:rsidP="00C513CB">
      <w:pPr>
        <w:spacing w:line="360" w:lineRule="auto"/>
        <w:ind w:left="360"/>
        <w:rPr>
          <w:b/>
          <w:bCs/>
          <w:sz w:val="24"/>
          <w:szCs w:val="24"/>
        </w:rPr>
      </w:pPr>
      <w:r w:rsidRPr="00B4033D">
        <w:rPr>
          <w:b/>
          <w:bCs/>
          <w:sz w:val="24"/>
          <w:szCs w:val="24"/>
        </w:rPr>
        <w:t>Pararbejde i klassen</w:t>
      </w:r>
    </w:p>
    <w:p w14:paraId="010B45D2" w14:textId="2E7F5F6E" w:rsidR="006126FF" w:rsidRPr="00020733" w:rsidRDefault="00AE3A31" w:rsidP="00C513CB">
      <w:pPr>
        <w:pStyle w:val="Listeafsnit"/>
        <w:spacing w:line="360" w:lineRule="auto"/>
        <w:rPr>
          <w:b/>
          <w:bCs/>
          <w:i/>
          <w:iCs/>
          <w:sz w:val="24"/>
          <w:szCs w:val="24"/>
        </w:rPr>
      </w:pPr>
      <w:r w:rsidRPr="00020733">
        <w:rPr>
          <w:b/>
          <w:bCs/>
          <w:i/>
          <w:iCs/>
          <w:sz w:val="24"/>
          <w:szCs w:val="24"/>
        </w:rPr>
        <w:t>Opgave 1:</w:t>
      </w:r>
    </w:p>
    <w:p w14:paraId="38E14150" w14:textId="7588CDA1" w:rsidR="00AE3A31" w:rsidRPr="00020733" w:rsidRDefault="00AE3A31" w:rsidP="00C513CB">
      <w:pPr>
        <w:pStyle w:val="Listeafsnit"/>
        <w:spacing w:line="360" w:lineRule="auto"/>
        <w:rPr>
          <w:i/>
          <w:iCs/>
          <w:sz w:val="24"/>
          <w:szCs w:val="24"/>
        </w:rPr>
      </w:pPr>
      <w:r w:rsidRPr="00020733">
        <w:rPr>
          <w:i/>
          <w:iCs/>
          <w:sz w:val="24"/>
          <w:szCs w:val="24"/>
        </w:rPr>
        <w:t>Læs brevet og overvej</w:t>
      </w:r>
      <w:r w:rsidR="00C20060" w:rsidRPr="00020733">
        <w:rPr>
          <w:i/>
          <w:iCs/>
          <w:sz w:val="24"/>
          <w:szCs w:val="24"/>
        </w:rPr>
        <w:t>, hvor</w:t>
      </w:r>
      <w:r w:rsidR="0057401C">
        <w:rPr>
          <w:i/>
          <w:iCs/>
          <w:sz w:val="24"/>
          <w:szCs w:val="24"/>
        </w:rPr>
        <w:t xml:space="preserve"> og hvordan</w:t>
      </w:r>
      <w:r w:rsidR="00C20060" w:rsidRPr="00020733">
        <w:rPr>
          <w:i/>
          <w:iCs/>
          <w:sz w:val="24"/>
          <w:szCs w:val="24"/>
        </w:rPr>
        <w:t xml:space="preserve"> stoisk </w:t>
      </w:r>
      <w:r w:rsidR="0057401C">
        <w:rPr>
          <w:i/>
          <w:iCs/>
          <w:sz w:val="24"/>
          <w:szCs w:val="24"/>
        </w:rPr>
        <w:t>livs</w:t>
      </w:r>
      <w:r w:rsidR="00C20060" w:rsidRPr="00020733">
        <w:rPr>
          <w:i/>
          <w:iCs/>
          <w:sz w:val="24"/>
          <w:szCs w:val="24"/>
        </w:rPr>
        <w:t xml:space="preserve">filosofi kommer til udtryk i brevet. </w:t>
      </w:r>
    </w:p>
    <w:p w14:paraId="502AF2FB" w14:textId="77777777" w:rsidR="00C20060" w:rsidRPr="00020733" w:rsidRDefault="00C20060" w:rsidP="00C513CB">
      <w:pPr>
        <w:pStyle w:val="Listeafsnit"/>
        <w:spacing w:line="360" w:lineRule="auto"/>
        <w:rPr>
          <w:i/>
          <w:iCs/>
          <w:sz w:val="24"/>
          <w:szCs w:val="24"/>
        </w:rPr>
      </w:pPr>
    </w:p>
    <w:p w14:paraId="322949EB" w14:textId="1243639D" w:rsidR="00C20060" w:rsidRPr="00020733" w:rsidRDefault="00C20060" w:rsidP="00C513CB">
      <w:pPr>
        <w:pStyle w:val="Listeafsnit"/>
        <w:spacing w:line="360" w:lineRule="auto"/>
        <w:rPr>
          <w:b/>
          <w:bCs/>
          <w:i/>
          <w:iCs/>
          <w:sz w:val="24"/>
          <w:szCs w:val="24"/>
        </w:rPr>
      </w:pPr>
      <w:r w:rsidRPr="00020733">
        <w:rPr>
          <w:b/>
          <w:bCs/>
          <w:i/>
          <w:iCs/>
          <w:sz w:val="24"/>
          <w:szCs w:val="24"/>
        </w:rPr>
        <w:t xml:space="preserve">Opgave 2: </w:t>
      </w:r>
    </w:p>
    <w:p w14:paraId="146DB8C6" w14:textId="59D90274" w:rsidR="00251376" w:rsidRPr="00020733" w:rsidRDefault="00251376" w:rsidP="00C513CB">
      <w:pPr>
        <w:pStyle w:val="Listeafsnit"/>
        <w:spacing w:line="360" w:lineRule="auto"/>
        <w:rPr>
          <w:i/>
          <w:iCs/>
          <w:sz w:val="24"/>
          <w:szCs w:val="24"/>
        </w:rPr>
      </w:pPr>
      <w:r w:rsidRPr="00020733">
        <w:rPr>
          <w:i/>
          <w:iCs/>
          <w:sz w:val="24"/>
          <w:szCs w:val="24"/>
        </w:rPr>
        <w:t xml:space="preserve">Læs </w:t>
      </w:r>
      <w:r w:rsidR="000C46AD" w:rsidRPr="00020733">
        <w:rPr>
          <w:i/>
          <w:iCs/>
          <w:sz w:val="24"/>
          <w:szCs w:val="24"/>
        </w:rPr>
        <w:t xml:space="preserve">brevet igen og lav samtidig en analyse af brevet ved at </w:t>
      </w:r>
      <w:r w:rsidR="007478B1" w:rsidRPr="00020733">
        <w:rPr>
          <w:i/>
          <w:iCs/>
          <w:sz w:val="24"/>
          <w:szCs w:val="24"/>
        </w:rPr>
        <w:t>understrege:</w:t>
      </w:r>
    </w:p>
    <w:p w14:paraId="712BAAF6" w14:textId="010B7B51" w:rsidR="004474AB" w:rsidRPr="00020733" w:rsidRDefault="004474AB" w:rsidP="00F221B4">
      <w:pPr>
        <w:pStyle w:val="Listeafsnit"/>
        <w:numPr>
          <w:ilvl w:val="2"/>
          <w:numId w:val="2"/>
        </w:numPr>
        <w:spacing w:line="276" w:lineRule="auto"/>
        <w:ind w:right="1814"/>
        <w:rPr>
          <w:i/>
          <w:iCs/>
          <w:sz w:val="24"/>
          <w:szCs w:val="24"/>
        </w:rPr>
      </w:pPr>
      <w:r w:rsidRPr="00020733">
        <w:rPr>
          <w:i/>
          <w:iCs/>
          <w:sz w:val="24"/>
          <w:szCs w:val="24"/>
        </w:rPr>
        <w:t>Gul – direkte henvendelse, 2. person, (imperativer)</w:t>
      </w:r>
      <w:r w:rsidR="0057401C">
        <w:rPr>
          <w:i/>
          <w:iCs/>
          <w:sz w:val="24"/>
          <w:szCs w:val="24"/>
        </w:rPr>
        <w:t xml:space="preserve"> samt </w:t>
      </w:r>
      <w:r w:rsidRPr="00020733">
        <w:rPr>
          <w:i/>
          <w:iCs/>
          <w:sz w:val="24"/>
          <w:szCs w:val="24"/>
        </w:rPr>
        <w:t>retoriske spørgsmål</w:t>
      </w:r>
    </w:p>
    <w:p w14:paraId="334A844C" w14:textId="045C7DC4" w:rsidR="004474AB" w:rsidRPr="00020733" w:rsidRDefault="004474AB" w:rsidP="00F221B4">
      <w:pPr>
        <w:pStyle w:val="Listeafsnit"/>
        <w:numPr>
          <w:ilvl w:val="2"/>
          <w:numId w:val="2"/>
        </w:numPr>
        <w:spacing w:line="276" w:lineRule="auto"/>
        <w:ind w:right="1814"/>
        <w:rPr>
          <w:i/>
          <w:iCs/>
          <w:sz w:val="24"/>
          <w:szCs w:val="24"/>
        </w:rPr>
      </w:pPr>
      <w:r w:rsidRPr="00020733">
        <w:rPr>
          <w:i/>
          <w:iCs/>
          <w:sz w:val="24"/>
          <w:szCs w:val="24"/>
        </w:rPr>
        <w:t>Turkis – sproglige billeder</w:t>
      </w:r>
    </w:p>
    <w:p w14:paraId="4CC224DC" w14:textId="34641CEA" w:rsidR="004474AB" w:rsidRPr="00020733" w:rsidRDefault="004474AB" w:rsidP="00F221B4">
      <w:pPr>
        <w:pStyle w:val="Listeafsnit"/>
        <w:numPr>
          <w:ilvl w:val="2"/>
          <w:numId w:val="2"/>
        </w:numPr>
        <w:spacing w:line="276" w:lineRule="auto"/>
        <w:ind w:right="1814"/>
        <w:rPr>
          <w:i/>
          <w:iCs/>
          <w:sz w:val="24"/>
          <w:szCs w:val="24"/>
        </w:rPr>
      </w:pPr>
      <w:r w:rsidRPr="00020733">
        <w:rPr>
          <w:i/>
          <w:iCs/>
          <w:sz w:val="24"/>
          <w:szCs w:val="24"/>
        </w:rPr>
        <w:t>Grøn – selvhenvendelse</w:t>
      </w:r>
      <w:r w:rsidR="0057401C">
        <w:rPr>
          <w:i/>
          <w:iCs/>
          <w:sz w:val="24"/>
          <w:szCs w:val="24"/>
        </w:rPr>
        <w:t>/selvreflektion</w:t>
      </w:r>
    </w:p>
    <w:p w14:paraId="4F0CF02D" w14:textId="77777777" w:rsidR="004474AB" w:rsidRPr="00020733" w:rsidRDefault="004474AB" w:rsidP="00F221B4">
      <w:pPr>
        <w:pStyle w:val="Listeafsnit"/>
        <w:numPr>
          <w:ilvl w:val="2"/>
          <w:numId w:val="2"/>
        </w:numPr>
        <w:spacing w:line="276" w:lineRule="auto"/>
        <w:ind w:right="1814"/>
        <w:rPr>
          <w:i/>
          <w:iCs/>
          <w:sz w:val="24"/>
          <w:szCs w:val="24"/>
        </w:rPr>
      </w:pPr>
      <w:r w:rsidRPr="00020733">
        <w:rPr>
          <w:i/>
          <w:iCs/>
          <w:sz w:val="24"/>
          <w:szCs w:val="24"/>
        </w:rPr>
        <w:t xml:space="preserve">Grå – </w:t>
      </w:r>
      <w:proofErr w:type="spellStart"/>
      <w:r w:rsidRPr="00020733">
        <w:rPr>
          <w:i/>
          <w:iCs/>
          <w:sz w:val="24"/>
          <w:szCs w:val="24"/>
        </w:rPr>
        <w:t>sententiae</w:t>
      </w:r>
      <w:proofErr w:type="spellEnd"/>
      <w:r w:rsidRPr="00020733">
        <w:rPr>
          <w:i/>
          <w:iCs/>
          <w:sz w:val="24"/>
          <w:szCs w:val="24"/>
        </w:rPr>
        <w:t xml:space="preserve"> (oneliners)</w:t>
      </w:r>
    </w:p>
    <w:p w14:paraId="4ACE0BBC" w14:textId="77777777" w:rsidR="00F221B4" w:rsidRPr="00020733" w:rsidRDefault="00F221B4" w:rsidP="00F221B4">
      <w:pPr>
        <w:pStyle w:val="Listeafsnit"/>
        <w:spacing w:line="276" w:lineRule="auto"/>
        <w:ind w:left="2160" w:right="1814"/>
        <w:rPr>
          <w:i/>
          <w:iCs/>
          <w:sz w:val="24"/>
          <w:szCs w:val="24"/>
        </w:rPr>
      </w:pPr>
    </w:p>
    <w:p w14:paraId="4358FE31" w14:textId="6BB7A94B" w:rsidR="00F221B4" w:rsidRPr="00020733" w:rsidRDefault="00F221B4" w:rsidP="00F221B4">
      <w:pPr>
        <w:pStyle w:val="Listeafsnit"/>
        <w:spacing w:line="276" w:lineRule="auto"/>
        <w:ind w:right="1814"/>
        <w:rPr>
          <w:b/>
          <w:bCs/>
          <w:i/>
          <w:iCs/>
          <w:sz w:val="24"/>
          <w:szCs w:val="24"/>
        </w:rPr>
      </w:pPr>
      <w:r w:rsidRPr="00020733">
        <w:rPr>
          <w:b/>
          <w:bCs/>
          <w:i/>
          <w:iCs/>
          <w:sz w:val="24"/>
          <w:szCs w:val="24"/>
        </w:rPr>
        <w:t xml:space="preserve">Opgave 3: </w:t>
      </w:r>
    </w:p>
    <w:p w14:paraId="2032D0D6" w14:textId="355795D6" w:rsidR="00F221B4" w:rsidRPr="00020733" w:rsidRDefault="003D2800" w:rsidP="00F221B4">
      <w:pPr>
        <w:pStyle w:val="Listeafsnit"/>
        <w:spacing w:line="276" w:lineRule="auto"/>
        <w:ind w:right="1814"/>
        <w:rPr>
          <w:i/>
          <w:iCs/>
          <w:sz w:val="24"/>
          <w:szCs w:val="24"/>
        </w:rPr>
      </w:pPr>
      <w:r w:rsidRPr="00020733">
        <w:rPr>
          <w:i/>
          <w:iCs/>
          <w:sz w:val="24"/>
          <w:szCs w:val="24"/>
        </w:rPr>
        <w:t>Senecas breve danner forbillede for den senere litterære genre essay</w:t>
      </w:r>
      <w:r w:rsidR="00300997" w:rsidRPr="00020733">
        <w:rPr>
          <w:i/>
          <w:iCs/>
          <w:sz w:val="24"/>
          <w:szCs w:val="24"/>
        </w:rPr>
        <w:t xml:space="preserve">. </w:t>
      </w:r>
      <w:r w:rsidR="00F221B4" w:rsidRPr="00020733">
        <w:rPr>
          <w:i/>
          <w:iCs/>
          <w:sz w:val="24"/>
          <w:szCs w:val="24"/>
        </w:rPr>
        <w:t>Læs definitionen af et essay</w:t>
      </w:r>
      <w:r w:rsidRPr="00020733">
        <w:rPr>
          <w:i/>
          <w:iCs/>
          <w:sz w:val="24"/>
          <w:szCs w:val="24"/>
        </w:rPr>
        <w:t xml:space="preserve"> (vedhæftet modulet)</w:t>
      </w:r>
      <w:r w:rsidR="00300997" w:rsidRPr="00020733">
        <w:rPr>
          <w:i/>
          <w:iCs/>
          <w:sz w:val="24"/>
          <w:szCs w:val="24"/>
        </w:rPr>
        <w:t>.</w:t>
      </w:r>
    </w:p>
    <w:p w14:paraId="570530E0" w14:textId="29C2CC78" w:rsidR="00300997" w:rsidRPr="00020733" w:rsidRDefault="00300997" w:rsidP="00F221B4">
      <w:pPr>
        <w:pStyle w:val="Listeafsnit"/>
        <w:spacing w:line="276" w:lineRule="auto"/>
        <w:ind w:right="1814"/>
        <w:rPr>
          <w:i/>
          <w:iCs/>
          <w:sz w:val="24"/>
          <w:szCs w:val="24"/>
        </w:rPr>
      </w:pPr>
      <w:r w:rsidRPr="00020733">
        <w:rPr>
          <w:i/>
          <w:iCs/>
          <w:sz w:val="24"/>
          <w:szCs w:val="24"/>
        </w:rPr>
        <w:t xml:space="preserve">Beskriv dernæst </w:t>
      </w:r>
      <w:r w:rsidR="00020733" w:rsidRPr="00020733">
        <w:rPr>
          <w:i/>
          <w:iCs/>
          <w:sz w:val="24"/>
          <w:szCs w:val="24"/>
        </w:rPr>
        <w:t xml:space="preserve">essayets </w:t>
      </w:r>
    </w:p>
    <w:p w14:paraId="28CED387" w14:textId="77777777" w:rsidR="00020733" w:rsidRPr="00020733" w:rsidRDefault="00020733" w:rsidP="00020733">
      <w:pPr>
        <w:numPr>
          <w:ilvl w:val="0"/>
          <w:numId w:val="3"/>
        </w:numPr>
        <w:tabs>
          <w:tab w:val="clear" w:pos="720"/>
          <w:tab w:val="num" w:pos="1080"/>
        </w:tabs>
        <w:spacing w:before="100" w:beforeAutospacing="1" w:after="100" w:afterAutospacing="1" w:line="240" w:lineRule="auto"/>
        <w:ind w:left="1080"/>
        <w:rPr>
          <w:rFonts w:eastAsia="Times New Roman" w:cs="Arial"/>
          <w:i/>
          <w:iCs/>
          <w:color w:val="000000"/>
          <w:sz w:val="24"/>
          <w:szCs w:val="24"/>
          <w:lang w:eastAsia="da-DK"/>
        </w:rPr>
      </w:pPr>
      <w:r w:rsidRPr="00020733">
        <w:rPr>
          <w:rFonts w:eastAsia="Times New Roman" w:cs="Arial"/>
          <w:b/>
          <w:bCs/>
          <w:i/>
          <w:iCs/>
          <w:color w:val="000000"/>
          <w:sz w:val="24"/>
          <w:szCs w:val="24"/>
          <w:lang w:eastAsia="da-DK"/>
        </w:rPr>
        <w:t>Afsæt:</w:t>
      </w:r>
      <w:r w:rsidRPr="00020733">
        <w:rPr>
          <w:rFonts w:eastAsia="Times New Roman" w:cs="Arial"/>
          <w:i/>
          <w:iCs/>
          <w:color w:val="000000"/>
          <w:sz w:val="24"/>
          <w:szCs w:val="24"/>
          <w:lang w:eastAsia="da-DK"/>
        </w:rPr>
        <w:t> Essayets udgangspunkt.</w:t>
      </w:r>
    </w:p>
    <w:p w14:paraId="2195A448" w14:textId="77777777" w:rsidR="00020733" w:rsidRPr="00020733" w:rsidRDefault="00020733" w:rsidP="00020733">
      <w:pPr>
        <w:numPr>
          <w:ilvl w:val="0"/>
          <w:numId w:val="4"/>
        </w:numPr>
        <w:tabs>
          <w:tab w:val="clear" w:pos="720"/>
          <w:tab w:val="num" w:pos="1080"/>
        </w:tabs>
        <w:spacing w:before="100" w:beforeAutospacing="1" w:after="100" w:afterAutospacing="1" w:line="240" w:lineRule="auto"/>
        <w:ind w:left="1080"/>
        <w:rPr>
          <w:rFonts w:eastAsia="Times New Roman" w:cs="Arial"/>
          <w:i/>
          <w:iCs/>
          <w:color w:val="000000"/>
          <w:sz w:val="24"/>
          <w:szCs w:val="24"/>
          <w:lang w:eastAsia="da-DK"/>
        </w:rPr>
      </w:pPr>
      <w:r w:rsidRPr="00020733">
        <w:rPr>
          <w:rFonts w:eastAsia="Times New Roman" w:cs="Arial"/>
          <w:b/>
          <w:bCs/>
          <w:i/>
          <w:iCs/>
          <w:color w:val="000000"/>
          <w:sz w:val="24"/>
          <w:szCs w:val="24"/>
          <w:lang w:eastAsia="da-DK"/>
        </w:rPr>
        <w:lastRenderedPageBreak/>
        <w:t>Associationer:</w:t>
      </w:r>
      <w:r w:rsidRPr="00020733">
        <w:rPr>
          <w:rFonts w:eastAsia="Times New Roman" w:cs="Arial"/>
          <w:i/>
          <w:iCs/>
          <w:color w:val="000000"/>
          <w:sz w:val="24"/>
          <w:szCs w:val="24"/>
          <w:lang w:eastAsia="da-DK"/>
        </w:rPr>
        <w:t> De tankerækker, som skribenten bevæger sig rundt i.</w:t>
      </w:r>
    </w:p>
    <w:p w14:paraId="04CC2784" w14:textId="77777777" w:rsidR="00020733" w:rsidRPr="00020733" w:rsidRDefault="00020733" w:rsidP="00020733">
      <w:pPr>
        <w:numPr>
          <w:ilvl w:val="0"/>
          <w:numId w:val="5"/>
        </w:numPr>
        <w:tabs>
          <w:tab w:val="clear" w:pos="720"/>
          <w:tab w:val="num" w:pos="1080"/>
        </w:tabs>
        <w:spacing w:before="100" w:beforeAutospacing="1" w:after="100" w:afterAutospacing="1" w:line="240" w:lineRule="auto"/>
        <w:ind w:left="1080"/>
        <w:rPr>
          <w:rFonts w:eastAsia="Times New Roman" w:cs="Arial"/>
          <w:i/>
          <w:iCs/>
          <w:color w:val="000000"/>
          <w:sz w:val="24"/>
          <w:szCs w:val="24"/>
          <w:lang w:eastAsia="da-DK"/>
        </w:rPr>
      </w:pPr>
      <w:r w:rsidRPr="00020733">
        <w:rPr>
          <w:rFonts w:eastAsia="Times New Roman" w:cs="Arial"/>
          <w:b/>
          <w:bCs/>
          <w:i/>
          <w:iCs/>
          <w:color w:val="000000"/>
          <w:sz w:val="24"/>
          <w:szCs w:val="24"/>
          <w:lang w:eastAsia="da-DK"/>
        </w:rPr>
        <w:t>Essayets tre planer:</w:t>
      </w:r>
      <w:r w:rsidRPr="00020733">
        <w:rPr>
          <w:rFonts w:eastAsia="Times New Roman" w:cs="Arial"/>
          <w:i/>
          <w:iCs/>
          <w:color w:val="000000"/>
          <w:sz w:val="24"/>
          <w:szCs w:val="24"/>
          <w:lang w:eastAsia="da-DK"/>
        </w:rPr>
        <w:t> Essayet blander fakta/det konkrete med erindringer og refleksioner. Hvert plan er kendetegnet ved sin egen sproglige stil:</w:t>
      </w:r>
    </w:p>
    <w:p w14:paraId="27149FC3" w14:textId="77777777" w:rsidR="00020733" w:rsidRPr="00020733" w:rsidRDefault="00020733" w:rsidP="00020733">
      <w:pPr>
        <w:spacing w:after="0" w:line="240" w:lineRule="auto"/>
        <w:ind w:left="720"/>
        <w:rPr>
          <w:rFonts w:eastAsia="Times New Roman" w:cs="Arial"/>
          <w:i/>
          <w:iCs/>
          <w:color w:val="000000"/>
          <w:sz w:val="24"/>
          <w:szCs w:val="24"/>
          <w:lang w:eastAsia="da-DK"/>
        </w:rPr>
      </w:pPr>
      <w:r w:rsidRPr="00020733">
        <w:rPr>
          <w:rFonts w:eastAsia="Times New Roman" w:cs="Arial"/>
          <w:i/>
          <w:iCs/>
          <w:color w:val="000000"/>
          <w:sz w:val="24"/>
          <w:szCs w:val="24"/>
          <w:lang w:eastAsia="da-DK"/>
        </w:rPr>
        <w:t>Det konkrete plan – præcis og enkel fremstilling, ofte skrevet i nutid.</w:t>
      </w:r>
      <w:r w:rsidRPr="00020733">
        <w:rPr>
          <w:rFonts w:eastAsia="Times New Roman" w:cs="Arial"/>
          <w:i/>
          <w:iCs/>
          <w:color w:val="000000"/>
          <w:sz w:val="24"/>
          <w:szCs w:val="24"/>
          <w:lang w:eastAsia="da-DK"/>
        </w:rPr>
        <w:br/>
        <w:t>Det erindrede plan – ofte med beskrivelser, brug af adjektiver og skrevet i datid.</w:t>
      </w:r>
      <w:r w:rsidRPr="00020733">
        <w:rPr>
          <w:rFonts w:eastAsia="Times New Roman" w:cs="Arial"/>
          <w:i/>
          <w:iCs/>
          <w:color w:val="000000"/>
          <w:sz w:val="24"/>
          <w:szCs w:val="24"/>
          <w:lang w:eastAsia="da-DK"/>
        </w:rPr>
        <w:br/>
        <w:t>Det reflekterende plan – argumenterende sprog, skrevet i nutid.</w:t>
      </w:r>
    </w:p>
    <w:p w14:paraId="57210522" w14:textId="77777777" w:rsidR="00020733" w:rsidRPr="00020733" w:rsidRDefault="00020733" w:rsidP="00F221B4">
      <w:pPr>
        <w:pStyle w:val="Listeafsnit"/>
        <w:spacing w:line="276" w:lineRule="auto"/>
        <w:ind w:right="1814"/>
        <w:rPr>
          <w:i/>
          <w:iCs/>
          <w:sz w:val="24"/>
          <w:szCs w:val="24"/>
        </w:rPr>
      </w:pPr>
    </w:p>
    <w:p w14:paraId="2C5FC595" w14:textId="77777777" w:rsidR="004474AB" w:rsidRPr="00020733" w:rsidRDefault="004474AB" w:rsidP="00F221B4">
      <w:pPr>
        <w:pStyle w:val="Listeafsnit"/>
        <w:spacing w:line="360" w:lineRule="auto"/>
        <w:ind w:left="2024"/>
        <w:rPr>
          <w:i/>
          <w:iCs/>
          <w:sz w:val="24"/>
          <w:szCs w:val="24"/>
        </w:rPr>
      </w:pPr>
    </w:p>
    <w:sectPr w:rsidR="004474AB" w:rsidRPr="000207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EB0"/>
    <w:multiLevelType w:val="hybridMultilevel"/>
    <w:tmpl w:val="CCD46994"/>
    <w:lvl w:ilvl="0" w:tplc="45FC230C">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257649D5"/>
    <w:multiLevelType w:val="multilevel"/>
    <w:tmpl w:val="785A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04767"/>
    <w:multiLevelType w:val="multilevel"/>
    <w:tmpl w:val="E7E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F5288"/>
    <w:multiLevelType w:val="hybridMultilevel"/>
    <w:tmpl w:val="D4FAF3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FD60A69"/>
    <w:multiLevelType w:val="multilevel"/>
    <w:tmpl w:val="41B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069395">
    <w:abstractNumId w:val="0"/>
  </w:num>
  <w:num w:numId="2" w16cid:durableId="1039208921">
    <w:abstractNumId w:val="3"/>
  </w:num>
  <w:num w:numId="3" w16cid:durableId="866212216">
    <w:abstractNumId w:val="2"/>
  </w:num>
  <w:num w:numId="4" w16cid:durableId="1594977483">
    <w:abstractNumId w:val="1"/>
  </w:num>
  <w:num w:numId="5" w16cid:durableId="308176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CB"/>
    <w:rsid w:val="00020733"/>
    <w:rsid w:val="000C46AD"/>
    <w:rsid w:val="00251376"/>
    <w:rsid w:val="00300997"/>
    <w:rsid w:val="0032235E"/>
    <w:rsid w:val="003D2800"/>
    <w:rsid w:val="004474AB"/>
    <w:rsid w:val="00497A45"/>
    <w:rsid w:val="0057401C"/>
    <w:rsid w:val="005B6C12"/>
    <w:rsid w:val="006126FF"/>
    <w:rsid w:val="007478B1"/>
    <w:rsid w:val="00856A6D"/>
    <w:rsid w:val="00AC66D3"/>
    <w:rsid w:val="00AE3A31"/>
    <w:rsid w:val="00B4033D"/>
    <w:rsid w:val="00C20060"/>
    <w:rsid w:val="00C513CB"/>
    <w:rsid w:val="00F221B4"/>
    <w:rsid w:val="00FE16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B3D"/>
  <w15:chartTrackingRefBased/>
  <w15:docId w15:val="{FC2616D0-EF08-4BB6-9BE3-3543FDF2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1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1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13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13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13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13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13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13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13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13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13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13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13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13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13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13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13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13CB"/>
    <w:rPr>
      <w:rFonts w:eastAsiaTheme="majorEastAsia" w:cstheme="majorBidi"/>
      <w:color w:val="272727" w:themeColor="text1" w:themeTint="D8"/>
    </w:rPr>
  </w:style>
  <w:style w:type="paragraph" w:styleId="Titel">
    <w:name w:val="Title"/>
    <w:basedOn w:val="Normal"/>
    <w:next w:val="Normal"/>
    <w:link w:val="TitelTegn"/>
    <w:uiPriority w:val="10"/>
    <w:qFormat/>
    <w:rsid w:val="00C51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13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13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13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13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13CB"/>
    <w:rPr>
      <w:i/>
      <w:iCs/>
      <w:color w:val="404040" w:themeColor="text1" w:themeTint="BF"/>
    </w:rPr>
  </w:style>
  <w:style w:type="paragraph" w:styleId="Listeafsnit">
    <w:name w:val="List Paragraph"/>
    <w:basedOn w:val="Normal"/>
    <w:uiPriority w:val="34"/>
    <w:qFormat/>
    <w:rsid w:val="00C513CB"/>
    <w:pPr>
      <w:ind w:left="720"/>
      <w:contextualSpacing/>
    </w:pPr>
  </w:style>
  <w:style w:type="character" w:styleId="Kraftigfremhvning">
    <w:name w:val="Intense Emphasis"/>
    <w:basedOn w:val="Standardskrifttypeiafsnit"/>
    <w:uiPriority w:val="21"/>
    <w:qFormat/>
    <w:rsid w:val="00C513CB"/>
    <w:rPr>
      <w:i/>
      <w:iCs/>
      <w:color w:val="0F4761" w:themeColor="accent1" w:themeShade="BF"/>
    </w:rPr>
  </w:style>
  <w:style w:type="paragraph" w:styleId="Strktcitat">
    <w:name w:val="Intense Quote"/>
    <w:basedOn w:val="Normal"/>
    <w:next w:val="Normal"/>
    <w:link w:val="StrktcitatTegn"/>
    <w:uiPriority w:val="30"/>
    <w:qFormat/>
    <w:rsid w:val="00C51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13CB"/>
    <w:rPr>
      <w:i/>
      <w:iCs/>
      <w:color w:val="0F4761" w:themeColor="accent1" w:themeShade="BF"/>
    </w:rPr>
  </w:style>
  <w:style w:type="character" w:styleId="Kraftighenvisning">
    <w:name w:val="Intense Reference"/>
    <w:basedOn w:val="Standardskrifttypeiafsnit"/>
    <w:uiPriority w:val="32"/>
    <w:qFormat/>
    <w:rsid w:val="00C51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580</Words>
  <Characters>3545</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Anne Sofie Rechnagel Szulevicz</cp:lastModifiedBy>
  <cp:revision>16</cp:revision>
  <dcterms:created xsi:type="dcterms:W3CDTF">2024-03-14T15:03:00Z</dcterms:created>
  <dcterms:modified xsi:type="dcterms:W3CDTF">2025-06-20T14:42:00Z</dcterms:modified>
</cp:coreProperties>
</file>