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8223" w14:textId="25ECDB0E" w:rsidR="006D74B9" w:rsidRPr="009E6E43" w:rsidRDefault="006D74B9" w:rsidP="00E1440F">
      <w:pPr>
        <w:spacing w:line="360" w:lineRule="auto"/>
        <w:jc w:val="both"/>
        <w:rPr>
          <w:b/>
          <w:bCs/>
        </w:rPr>
      </w:pPr>
      <w:r w:rsidRPr="009E6E43">
        <w:rPr>
          <w:b/>
          <w:bCs/>
        </w:rPr>
        <w:t>Seneca 63</w:t>
      </w:r>
      <w:r w:rsidR="00FB46FD" w:rsidRPr="009E6E43">
        <w:rPr>
          <w:b/>
          <w:bCs/>
        </w:rPr>
        <w:t>: Om sorg</w:t>
      </w:r>
    </w:p>
    <w:p w14:paraId="7EEDA4F4" w14:textId="77777777" w:rsidR="006D74B9" w:rsidRDefault="006D74B9" w:rsidP="00E1440F">
      <w:pPr>
        <w:spacing w:line="360" w:lineRule="auto"/>
        <w:jc w:val="both"/>
      </w:pPr>
      <w:r>
        <w:t xml:space="preserve">1 Det gør mig ondt, at din ven </w:t>
      </w:r>
      <w:proofErr w:type="spellStart"/>
      <w:r>
        <w:t>Flaccus</w:t>
      </w:r>
      <w:proofErr w:type="spellEnd"/>
      <w:r>
        <w:t xml:space="preserve"> er gået bort, men jeg vil ikke have, at du sørger mere, end rimeligt er. At du slet ikke sørger, kan jeg ikke få mig til at kræve, selv om jeg ved, at det var det bedste. Men en sådan sjælsstyrke tilfalder kun den, der allerede er højt hævet over tilfældet. Også ham vil et sådant tab give et stik, men kun et stik. Hvis vi andre forfalder til tårer, kan man bære over med det, hvis der ikke løber for mange af dem, og vi selv kæmper imod. Øjnene skal ikke være tørre og tårerne heller ikke sprøjte, når man mister en ven. Man skal græde, ikke jamre. </w:t>
      </w:r>
    </w:p>
    <w:p w14:paraId="4BAEA171" w14:textId="68496477" w:rsidR="006D74B9" w:rsidRDefault="006D74B9" w:rsidP="00E1440F">
      <w:pPr>
        <w:spacing w:line="360" w:lineRule="auto"/>
        <w:jc w:val="both"/>
      </w:pPr>
      <w:r>
        <w:t>2. Synes du, det er en streng norm, jeg pålægger dig i betragtning af, at den største af de græske digtere kun gav lov til at græde én dag og sagde, at selv Niobe havde tænkt på mad?</w:t>
      </w:r>
      <w:r>
        <w:rPr>
          <w:rStyle w:val="Fodnotehenvisning"/>
        </w:rPr>
        <w:footnoteReference w:id="1"/>
      </w:r>
      <w:r>
        <w:t xml:space="preserve"> Du spørger om, hvad der får os mennesker til at klage og græde i en uendelighed. Vi vil bevise savnet med tårer, og vi lader ikke smerten være, men skilter med den. Ingen er ked af det i enrum. Elendige dumhed! Selv i smerte er der forfængelighed. </w:t>
      </w:r>
    </w:p>
    <w:p w14:paraId="5B3F2FC1" w14:textId="77777777" w:rsidR="006D74B9" w:rsidRDefault="006D74B9" w:rsidP="00E1440F">
      <w:pPr>
        <w:spacing w:line="360" w:lineRule="auto"/>
        <w:jc w:val="both"/>
      </w:pPr>
      <w:r>
        <w:t xml:space="preserve">(3) ‘Jamen, skal jeg glemme min ven?’, spørger du. Du vil ikke huske ham længe, hvis hans minde afhænger af smerten. En tilfældighed vil glatte rynkerne ud til et smil. Jeg taler ikke om det senere tidspunkt, hvor ethvert savn mildnes, og selv den stærkeste sorg svinder. Så snart du holder op med at iagttage dig selv, vil selve det bedrøvede udtryk forsvinde. Nu hæger du selv om din smerte, men alligevel vil den glide væk, og jo voldsommere den er, jo hurtigere vil den få en ende. </w:t>
      </w:r>
    </w:p>
    <w:p w14:paraId="5F6198B5" w14:textId="77777777" w:rsidR="006D74B9" w:rsidRDefault="006D74B9" w:rsidP="00E1440F">
      <w:pPr>
        <w:spacing w:line="360" w:lineRule="auto"/>
        <w:jc w:val="both"/>
      </w:pPr>
      <w:r>
        <w:t xml:space="preserve">(4) Det drejer sig om, at vi skal få mindet om vores afdøde til at blive rart for os selv. Ingen har lyst til at vende tilbage til det, som han ikke kan tænke på uden, at det gør ondt; navnet på en af </w:t>
      </w:r>
      <w:proofErr w:type="gramStart"/>
      <w:r>
        <w:t>vore</w:t>
      </w:r>
      <w:proofErr w:type="gramEnd"/>
      <w:r>
        <w:t xml:space="preserve"> døde, som vi har elsket, melder sig jo nødvendigvis for os med et stik. Men også det stik har sin glæde. </w:t>
      </w:r>
    </w:p>
    <w:p w14:paraId="4AFA74DB" w14:textId="77777777" w:rsidR="00E1440F" w:rsidRDefault="006D74B9" w:rsidP="00E1440F">
      <w:pPr>
        <w:spacing w:line="360" w:lineRule="auto"/>
        <w:jc w:val="both"/>
      </w:pPr>
      <w:r>
        <w:t>(5) Vores Attalos</w:t>
      </w:r>
      <w:r>
        <w:rPr>
          <w:rStyle w:val="Fodnotehenvisning"/>
        </w:rPr>
        <w:footnoteReference w:id="2"/>
      </w:r>
      <w:r>
        <w:t xml:space="preserve"> plejede jo at sige: ‘Mindet om afdøde venner er rart, på samme måde som nogle frugter er bittersøde, og ligesom vi ved en meget gammel vin</w:t>
      </w:r>
      <w:r w:rsidR="00E1440F">
        <w:t xml:space="preserve"> </w:t>
      </w:r>
      <w:r w:rsidR="00E1440F">
        <w:t>nyder selve skarpheden. Men når der er gået lidt tid, udslettes alt det, der giver os</w:t>
      </w:r>
      <w:r w:rsidR="00E1440F">
        <w:t xml:space="preserve"> </w:t>
      </w:r>
      <w:r w:rsidR="00E1440F">
        <w:t xml:space="preserve">ubehag, og der kommer en ren nydelse til os.’ </w:t>
      </w:r>
    </w:p>
    <w:p w14:paraId="5AA8961E" w14:textId="0E9A27ED" w:rsidR="00E1440F" w:rsidRDefault="00E1440F" w:rsidP="00E1440F">
      <w:pPr>
        <w:spacing w:line="360" w:lineRule="auto"/>
        <w:jc w:val="both"/>
      </w:pPr>
      <w:r>
        <w:t>(6) Hvis vi tror ham, ‘er det at tænke på</w:t>
      </w:r>
      <w:r>
        <w:t xml:space="preserve"> </w:t>
      </w:r>
      <w:r>
        <w:t>venner, der har det godt, at nyde honning og kage. At huske på dem, der ikke lever længere, er en glæde, der er forbundet med en vis bitterhed. Hvem kan nægte, at man</w:t>
      </w:r>
      <w:r>
        <w:t xml:space="preserve"> </w:t>
      </w:r>
      <w:r>
        <w:t xml:space="preserve">føler uvilje ved det stærke og bitre?’ </w:t>
      </w:r>
    </w:p>
    <w:p w14:paraId="1B2DCC58" w14:textId="7BEEF043" w:rsidR="00E1440F" w:rsidRDefault="00E1440F" w:rsidP="00E1440F">
      <w:pPr>
        <w:spacing w:line="360" w:lineRule="auto"/>
        <w:jc w:val="both"/>
      </w:pPr>
      <w:r>
        <w:t>(7) Sådan har jeg det ikke. For mig er tanken om afdøde venner sød og behagelig. Jeg har haft dem som nogle, jeg skulle miste, og jeg har</w:t>
      </w:r>
      <w:r>
        <w:t xml:space="preserve"> </w:t>
      </w:r>
      <w:r>
        <w:t xml:space="preserve">mistet dem, men har dem for så vidt </w:t>
      </w:r>
      <w:proofErr w:type="spellStart"/>
      <w:proofErr w:type="gramStart"/>
      <w:r>
        <w:t>endnu.Kære</w:t>
      </w:r>
      <w:proofErr w:type="spellEnd"/>
      <w:proofErr w:type="gramEnd"/>
      <w:r>
        <w:t xml:space="preserve"> </w:t>
      </w:r>
      <w:proofErr w:type="spellStart"/>
      <w:r>
        <w:t>Lucilius</w:t>
      </w:r>
      <w:proofErr w:type="spellEnd"/>
      <w:r>
        <w:t xml:space="preserve">, vis dig som </w:t>
      </w:r>
      <w:r>
        <w:lastRenderedPageBreak/>
        <w:t>det ligevægtige menneske, du er, og hold op med at tage</w:t>
      </w:r>
      <w:r>
        <w:t xml:space="preserve"> </w:t>
      </w:r>
      <w:r>
        <w:t xml:space="preserve">en velgerning fra tilfældet som noget dårligt. Tilfældet tog, men først gav det. </w:t>
      </w:r>
    </w:p>
    <w:p w14:paraId="30F85AF1" w14:textId="35A09CD4" w:rsidR="00E1440F" w:rsidRDefault="00E1440F" w:rsidP="00E1440F">
      <w:pPr>
        <w:spacing w:line="360" w:lineRule="auto"/>
        <w:jc w:val="both"/>
      </w:pPr>
      <w:r>
        <w:t>(8) Lad</w:t>
      </w:r>
      <w:r>
        <w:t xml:space="preserve"> </w:t>
      </w:r>
      <w:r>
        <w:t>os derfor begærligt nyde vennerne, fordi det er usikkert, hvor længe det kan lade sig</w:t>
      </w:r>
      <w:r>
        <w:t xml:space="preserve"> </w:t>
      </w:r>
      <w:r>
        <w:t>gøre. Tænk på, hvor mange gange vi har efterladt dem for at tage på en lang rejse, og</w:t>
      </w:r>
      <w:r>
        <w:t xml:space="preserve"> </w:t>
      </w:r>
      <w:r>
        <w:t>hvor ofte vi ikke har set dem, selv om vi var på samme sted. Vi vil forstå, at vi mistede</w:t>
      </w:r>
      <w:r>
        <w:t xml:space="preserve"> </w:t>
      </w:r>
      <w:r>
        <w:t xml:space="preserve">mest tid, mens de levede. </w:t>
      </w:r>
    </w:p>
    <w:p w14:paraId="3A7D5AF3" w14:textId="77777777" w:rsidR="00E1440F" w:rsidRDefault="00E1440F" w:rsidP="00E1440F">
      <w:pPr>
        <w:spacing w:line="360" w:lineRule="auto"/>
        <w:jc w:val="both"/>
      </w:pPr>
      <w:r>
        <w:t>(9) Kan du holde dem ud, der forsømmer deres venner på det</w:t>
      </w:r>
      <w:r>
        <w:t xml:space="preserve"> </w:t>
      </w:r>
      <w:r>
        <w:t>groveste, er trøstesløse af sorg og først holder af nogen, når de har mistet dem? Deres</w:t>
      </w:r>
      <w:r>
        <w:t xml:space="preserve"> </w:t>
      </w:r>
      <w:r>
        <w:t xml:space="preserve">sorg er da så meget mere overdrevet, fordi de er bange for, at der skal være tvivl om, </w:t>
      </w:r>
      <w:proofErr w:type="spellStart"/>
      <w:r>
        <w:t>atde</w:t>
      </w:r>
      <w:proofErr w:type="spellEnd"/>
      <w:r>
        <w:t xml:space="preserve"> har elsket. Det er for sent, de søger at bevise deres følelse. </w:t>
      </w:r>
    </w:p>
    <w:p w14:paraId="33DFC92D" w14:textId="65CA388A" w:rsidR="00E1440F" w:rsidRDefault="00E1440F" w:rsidP="00E1440F">
      <w:pPr>
        <w:spacing w:line="360" w:lineRule="auto"/>
        <w:jc w:val="both"/>
      </w:pPr>
      <w:r>
        <w:t>(10) Hvis vi har andre</w:t>
      </w:r>
      <w:r>
        <w:t xml:space="preserve"> </w:t>
      </w:r>
      <w:r>
        <w:t>venner, behandler vi dem dårligt og sætter dem lavt, når de ikke slår til som trøst efter</w:t>
      </w:r>
      <w:r>
        <w:t xml:space="preserve"> </w:t>
      </w:r>
      <w:r>
        <w:t>ham, vi har begravet. Hvis ikke, har vi gjort os selv mere skade, end tilfældet kunne</w:t>
      </w:r>
      <w:r>
        <w:t>.</w:t>
      </w:r>
      <w:r>
        <w:t xml:space="preserve"> Det tog en bort, men vi har ikke skaffet os nogen som helst. </w:t>
      </w:r>
    </w:p>
    <w:p w14:paraId="1574C2F8" w14:textId="37E328FA" w:rsidR="00E1440F" w:rsidRDefault="00E1440F" w:rsidP="00E1440F">
      <w:pPr>
        <w:spacing w:line="360" w:lineRule="auto"/>
        <w:jc w:val="both"/>
      </w:pPr>
      <w:r>
        <w:t>(11) Den, der ikke har</w:t>
      </w:r>
      <w:r>
        <w:t xml:space="preserve"> </w:t>
      </w:r>
      <w:r>
        <w:t>kunnet elske mere end en, har ikke engang elsket ham ret meget. Hvis en, der er blevet</w:t>
      </w:r>
      <w:r>
        <w:t xml:space="preserve"> </w:t>
      </w:r>
      <w:r>
        <w:t>berøvet sin eneste tunika, hellere vil beklage sig end prøve at finde ud af, hvordan han</w:t>
      </w:r>
      <w:r>
        <w:t xml:space="preserve"> </w:t>
      </w:r>
      <w:r>
        <w:t>kan undgå at fryse ved at finde noget andet at tage over skuldrene, synes du så ikke, at</w:t>
      </w:r>
      <w:r w:rsidR="00190E6C">
        <w:t xml:space="preserve"> </w:t>
      </w:r>
      <w:r>
        <w:t>han er en idiot? Du har begravet den, du holdt af. Find en anden at holde af. Det er</w:t>
      </w:r>
      <w:r w:rsidR="00190E6C">
        <w:t xml:space="preserve"> </w:t>
      </w:r>
      <w:r>
        <w:t>bedre at erstatte en ven end at begræde ham.</w:t>
      </w:r>
    </w:p>
    <w:p w14:paraId="4B34D1FE" w14:textId="6507BAB2" w:rsidR="00E1440F" w:rsidRDefault="00E1440F" w:rsidP="00E1440F">
      <w:pPr>
        <w:spacing w:line="360" w:lineRule="auto"/>
        <w:jc w:val="both"/>
      </w:pPr>
      <w:r>
        <w:t xml:space="preserve"> </w:t>
      </w:r>
      <w:r w:rsidR="00222879">
        <w:t>(</w:t>
      </w:r>
      <w:r>
        <w:t>12</w:t>
      </w:r>
      <w:r w:rsidR="00222879">
        <w:t>)</w:t>
      </w:r>
      <w:r>
        <w:t xml:space="preserve">. Jeg ved godt, at det, som jeg nu skal til at sige, er fortærsket, men jeg vil </w:t>
      </w:r>
      <w:proofErr w:type="gramStart"/>
      <w:r>
        <w:t>dog</w:t>
      </w:r>
      <w:r w:rsidR="00190E6C">
        <w:t xml:space="preserve"> </w:t>
      </w:r>
      <w:r>
        <w:t xml:space="preserve"> ikke</w:t>
      </w:r>
      <w:proofErr w:type="gramEnd"/>
      <w:r>
        <w:t xml:space="preserve"> forbigå det, bare fordi alle andre har sagt det. Også den, der ikke har forholdt sig</w:t>
      </w:r>
      <w:r w:rsidR="00190E6C">
        <w:t xml:space="preserve"> </w:t>
      </w:r>
      <w:r>
        <w:t>bevidst til det, finder med tiden en ende på smerten. Hos en klog mand er det et</w:t>
      </w:r>
      <w:r w:rsidR="00190E6C">
        <w:t xml:space="preserve"> </w:t>
      </w:r>
      <w:r>
        <w:t>forkasteligt middel mod sorg bare at lade sorgen dø ud. Jeg foretrækker, at du slipper</w:t>
      </w:r>
      <w:r w:rsidR="00190E6C">
        <w:t xml:space="preserve"> </w:t>
      </w:r>
      <w:r>
        <w:t>sorgen frem for, at den slipper dig. Det, du ikke kan gøre længe, selv om du ville, skal</w:t>
      </w:r>
      <w:r w:rsidR="00190E6C">
        <w:t xml:space="preserve"> </w:t>
      </w:r>
      <w:r>
        <w:t xml:space="preserve">du hurtigst muligt holde op med. </w:t>
      </w:r>
    </w:p>
    <w:p w14:paraId="60FB1435" w14:textId="77777777" w:rsidR="00267C9F" w:rsidRDefault="00E1440F" w:rsidP="00E1440F">
      <w:pPr>
        <w:spacing w:line="360" w:lineRule="auto"/>
        <w:jc w:val="both"/>
      </w:pPr>
      <w:r>
        <w:t>(13) De gamle fastsatte et år til kvinder at sørge i,</w:t>
      </w:r>
      <w:r w:rsidR="00190E6C">
        <w:t xml:space="preserve"> </w:t>
      </w:r>
      <w:r>
        <w:t>ikke for at de skulle sørge så længe, men for at de ikke skulle sørge længere. For mænd</w:t>
      </w:r>
      <w:r w:rsidR="00190E6C">
        <w:t xml:space="preserve"> </w:t>
      </w:r>
      <w:r>
        <w:t>er der ingen lovbestemt tid, fordi ingen tid er det rigtige. Kan du da nævne mig et af de</w:t>
      </w:r>
      <w:r w:rsidR="00190E6C">
        <w:t xml:space="preserve"> </w:t>
      </w:r>
      <w:r>
        <w:t>der kvindemennesker, man næsten ikke kan slæbe væk fra ligbålet og få til at give slip</w:t>
      </w:r>
      <w:r w:rsidR="00267C9F">
        <w:t xml:space="preserve"> </w:t>
      </w:r>
      <w:r w:rsidR="00267C9F">
        <w:t xml:space="preserve">på liget, hvis tårer har varet måneden ud? Der er intet, der så hurtigt vækker modvilje som smerte. Når den lige er indtrådt, finder den en trøster og trækker nogle til sig, men varer den i det uendelige, bliver den til grin, og med rette. Den er nemlig enten påtaget eller tåbelig. </w:t>
      </w:r>
    </w:p>
    <w:p w14:paraId="4D2F5D58" w14:textId="77777777" w:rsidR="00CB702D" w:rsidRDefault="00267C9F" w:rsidP="00E1440F">
      <w:pPr>
        <w:spacing w:line="360" w:lineRule="auto"/>
        <w:jc w:val="both"/>
      </w:pPr>
      <w:r>
        <w:t>(</w:t>
      </w:r>
      <w:r>
        <w:t>14</w:t>
      </w:r>
      <w:r>
        <w:t>)</w:t>
      </w:r>
      <w:r>
        <w:t xml:space="preserve">. Dette skriver jeg, jeg der græd så umådeholdent over min kære </w:t>
      </w:r>
      <w:proofErr w:type="spellStart"/>
      <w:r>
        <w:t>Annaeus</w:t>
      </w:r>
      <w:proofErr w:type="spellEnd"/>
      <w:r>
        <w:t xml:space="preserve"> </w:t>
      </w:r>
      <w:proofErr w:type="spellStart"/>
      <w:r>
        <w:t>Serenus</w:t>
      </w:r>
      <w:proofErr w:type="spellEnd"/>
      <w:r>
        <w:rPr>
          <w:rStyle w:val="Fodnotehenvisning"/>
        </w:rPr>
        <w:footnoteReference w:id="3"/>
      </w:r>
      <w:r>
        <w:t xml:space="preserve"> at jeg meget mod min vilje er et af eksemplerne på folk, som smerten har sejret over. I dag fordømmer jeg, hvad jeg gjorde, </w:t>
      </w:r>
      <w:r>
        <w:lastRenderedPageBreak/>
        <w:t>og forstår, at den vigtigste grund til at sørge så meget var, at jeg aldrig havde tænkt, at han kunne dø før mig. Det eneste, der faldt mig ind, var, at han var yngre, ja meget yngre– som om skæbnen opretholdt en rækkefølge!</w:t>
      </w:r>
    </w:p>
    <w:p w14:paraId="0DE8DE9B" w14:textId="77777777" w:rsidR="00CB702D" w:rsidRDefault="00267C9F" w:rsidP="00E1440F">
      <w:pPr>
        <w:spacing w:line="360" w:lineRule="auto"/>
        <w:jc w:val="both"/>
      </w:pPr>
      <w:r>
        <w:t xml:space="preserve"> (15) Vi må hele tiden tænke på både vores egen og </w:t>
      </w:r>
      <w:proofErr w:type="gramStart"/>
      <w:r>
        <w:t>vore</w:t>
      </w:r>
      <w:proofErr w:type="gramEnd"/>
      <w:r>
        <w:t xml:space="preserve"> kæres dødelighed. Dengang skulle jeg have sagt: ‘</w:t>
      </w:r>
      <w:proofErr w:type="spellStart"/>
      <w:r>
        <w:t>Serenus</w:t>
      </w:r>
      <w:proofErr w:type="spellEnd"/>
      <w:r>
        <w:t xml:space="preserve"> er yngre end mig. Hvad har det med sagen at gøre? Han bør dø efter mig, men kan dø før.’ Fordi jeg ikke gjorde det, var jeg uforberedt på tilfældets pludselige slag. Nu tænker jeg, at alt er forgængeligt og forgængeligt under usikkerhedens lov. I dag kan der ske alt det, der nogensinde kan ske. </w:t>
      </w:r>
    </w:p>
    <w:p w14:paraId="72A4622D" w14:textId="44F88A92" w:rsidR="006126FF" w:rsidRDefault="00267C9F" w:rsidP="00E1440F">
      <w:pPr>
        <w:spacing w:line="360" w:lineRule="auto"/>
        <w:jc w:val="both"/>
      </w:pPr>
      <w:r>
        <w:t xml:space="preserve">(16) Derfor skal vi tænke på, kæreste </w:t>
      </w:r>
      <w:proofErr w:type="spellStart"/>
      <w:r>
        <w:t>Lucilius</w:t>
      </w:r>
      <w:proofErr w:type="spellEnd"/>
      <w:r>
        <w:t xml:space="preserve">, at vi snart kommer derhen, hvor vi sørger over, at han er kommet hen. Hvis blot de </w:t>
      </w:r>
      <w:proofErr w:type="spellStart"/>
      <w:r>
        <w:t>viises</w:t>
      </w:r>
      <w:proofErr w:type="spellEnd"/>
      <w:r>
        <w:t xml:space="preserve"> tradition er sand, og der findes et sted, som tager imod os, er han, som vi mener, er gået bort, måske sendt i forvejen. Hav det godt.</w:t>
      </w:r>
    </w:p>
    <w:sectPr w:rsidR="006126F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4FE5" w14:textId="77777777" w:rsidR="00D40B44" w:rsidRDefault="00D40B44" w:rsidP="006D74B9">
      <w:pPr>
        <w:spacing w:after="0" w:line="240" w:lineRule="auto"/>
      </w:pPr>
      <w:r>
        <w:separator/>
      </w:r>
    </w:p>
  </w:endnote>
  <w:endnote w:type="continuationSeparator" w:id="0">
    <w:p w14:paraId="2537BA19" w14:textId="77777777" w:rsidR="00D40B44" w:rsidRDefault="00D40B44" w:rsidP="006D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85C8" w14:textId="77777777" w:rsidR="00D40B44" w:rsidRDefault="00D40B44" w:rsidP="006D74B9">
      <w:pPr>
        <w:spacing w:after="0" w:line="240" w:lineRule="auto"/>
      </w:pPr>
      <w:r>
        <w:separator/>
      </w:r>
    </w:p>
  </w:footnote>
  <w:footnote w:type="continuationSeparator" w:id="0">
    <w:p w14:paraId="160F9312" w14:textId="77777777" w:rsidR="00D40B44" w:rsidRDefault="00D40B44" w:rsidP="006D74B9">
      <w:pPr>
        <w:spacing w:after="0" w:line="240" w:lineRule="auto"/>
      </w:pPr>
      <w:r>
        <w:continuationSeparator/>
      </w:r>
    </w:p>
  </w:footnote>
  <w:footnote w:id="1">
    <w:p w14:paraId="7BEA5CAA" w14:textId="77777777" w:rsidR="006D74B9" w:rsidRDefault="006D74B9" w:rsidP="006D74B9">
      <w:pPr>
        <w:pStyle w:val="Fodnotetekst"/>
      </w:pPr>
      <w:r>
        <w:rPr>
          <w:rStyle w:val="Fodnotehenvisning"/>
        </w:rPr>
        <w:footnoteRef/>
      </w:r>
      <w:r>
        <w:t xml:space="preserve"> </w:t>
      </w:r>
      <w:r>
        <w:t>Der hentydes til Homer Iliaden 19, 229 og 24, 602. Niobe er en græsk mytologisk skikkelse, der</w:t>
      </w:r>
    </w:p>
    <w:p w14:paraId="118950BE" w14:textId="7AD62B59" w:rsidR="006D74B9" w:rsidRDefault="006D74B9" w:rsidP="006D74B9">
      <w:pPr>
        <w:pStyle w:val="Fodnotetekst"/>
      </w:pPr>
      <w:r>
        <w:t xml:space="preserve"> sørger over tabet af alle sine børn.</w:t>
      </w:r>
    </w:p>
  </w:footnote>
  <w:footnote w:id="2">
    <w:p w14:paraId="6A434EC2" w14:textId="7C7DA2A9" w:rsidR="006D74B9" w:rsidRDefault="006D74B9">
      <w:pPr>
        <w:pStyle w:val="Fodnotetekst"/>
      </w:pPr>
      <w:r>
        <w:rPr>
          <w:rStyle w:val="Fodnotehenvisning"/>
        </w:rPr>
        <w:footnoteRef/>
      </w:r>
      <w:r>
        <w:t xml:space="preserve"> Stoisk filosof. Lærer for Seneca</w:t>
      </w:r>
    </w:p>
  </w:footnote>
  <w:footnote w:id="3">
    <w:p w14:paraId="45C94707" w14:textId="77777777" w:rsidR="00CB702D" w:rsidRDefault="00267C9F" w:rsidP="00CB702D">
      <w:pPr>
        <w:pStyle w:val="Fodnotetekst"/>
      </w:pPr>
      <w:r>
        <w:rPr>
          <w:rStyle w:val="Fodnotehenvisning"/>
        </w:rPr>
        <w:footnoteRef/>
      </w:r>
      <w:r>
        <w:t xml:space="preserve"> </w:t>
      </w:r>
      <w:r w:rsidR="00CB702D">
        <w:t xml:space="preserve">Nær ven af Seneca, som han dedicerede dialogerne De Constantia </w:t>
      </w:r>
      <w:proofErr w:type="spellStart"/>
      <w:r w:rsidR="00CB702D">
        <w:t>Sapientis</w:t>
      </w:r>
      <w:proofErr w:type="spellEnd"/>
      <w:r w:rsidR="00CB702D">
        <w:t xml:space="preserve">, De </w:t>
      </w:r>
      <w:proofErr w:type="spellStart"/>
      <w:r w:rsidR="00CB702D">
        <w:t>Otio</w:t>
      </w:r>
      <w:proofErr w:type="spellEnd"/>
      <w:r w:rsidR="00CB702D">
        <w:t xml:space="preserve"> og De</w:t>
      </w:r>
    </w:p>
    <w:p w14:paraId="6ECF2626" w14:textId="55B6B906" w:rsidR="00267C9F" w:rsidRDefault="00CB702D" w:rsidP="00CB702D">
      <w:pPr>
        <w:pStyle w:val="Fodnotetekst"/>
      </w:pPr>
      <w:r>
        <w:t xml:space="preserve"> </w:t>
      </w:r>
      <w:proofErr w:type="spellStart"/>
      <w:r>
        <w:t>Tranquillitate</w:t>
      </w:r>
      <w:proofErr w:type="spellEnd"/>
      <w:r>
        <w:t xml:space="preserve"> </w:t>
      </w:r>
      <w:proofErr w:type="spellStart"/>
      <w:r>
        <w:t>Animi</w:t>
      </w:r>
      <w:proofErr w:type="spellEnd"/>
      <w:r>
        <w:t xml:space="preserve"> til.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B9"/>
    <w:rsid w:val="00190E6C"/>
    <w:rsid w:val="00222879"/>
    <w:rsid w:val="00267C9F"/>
    <w:rsid w:val="0032235E"/>
    <w:rsid w:val="006126FF"/>
    <w:rsid w:val="006D74B9"/>
    <w:rsid w:val="00856A6D"/>
    <w:rsid w:val="009E6E43"/>
    <w:rsid w:val="00CB702D"/>
    <w:rsid w:val="00D40B44"/>
    <w:rsid w:val="00E1440F"/>
    <w:rsid w:val="00FB46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95D8"/>
  <w15:chartTrackingRefBased/>
  <w15:docId w15:val="{36D2F286-0BE1-49E7-A866-38529DCA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7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D7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D74B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74B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D74B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D74B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74B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D74B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74B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D74B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D74B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D74B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D74B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D74B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D74B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D74B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D74B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D74B9"/>
    <w:rPr>
      <w:rFonts w:eastAsiaTheme="majorEastAsia" w:cstheme="majorBidi"/>
      <w:color w:val="272727" w:themeColor="text1" w:themeTint="D8"/>
    </w:rPr>
  </w:style>
  <w:style w:type="paragraph" w:styleId="Titel">
    <w:name w:val="Title"/>
    <w:basedOn w:val="Normal"/>
    <w:next w:val="Normal"/>
    <w:link w:val="TitelTegn"/>
    <w:uiPriority w:val="10"/>
    <w:qFormat/>
    <w:rsid w:val="006D7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D74B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D74B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D74B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D74B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D74B9"/>
    <w:rPr>
      <w:i/>
      <w:iCs/>
      <w:color w:val="404040" w:themeColor="text1" w:themeTint="BF"/>
    </w:rPr>
  </w:style>
  <w:style w:type="paragraph" w:styleId="Listeafsnit">
    <w:name w:val="List Paragraph"/>
    <w:basedOn w:val="Normal"/>
    <w:uiPriority w:val="34"/>
    <w:qFormat/>
    <w:rsid w:val="006D74B9"/>
    <w:pPr>
      <w:ind w:left="720"/>
      <w:contextualSpacing/>
    </w:pPr>
  </w:style>
  <w:style w:type="character" w:styleId="Kraftigfremhvning">
    <w:name w:val="Intense Emphasis"/>
    <w:basedOn w:val="Standardskrifttypeiafsnit"/>
    <w:uiPriority w:val="21"/>
    <w:qFormat/>
    <w:rsid w:val="006D74B9"/>
    <w:rPr>
      <w:i/>
      <w:iCs/>
      <w:color w:val="0F4761" w:themeColor="accent1" w:themeShade="BF"/>
    </w:rPr>
  </w:style>
  <w:style w:type="paragraph" w:styleId="Strktcitat">
    <w:name w:val="Intense Quote"/>
    <w:basedOn w:val="Normal"/>
    <w:next w:val="Normal"/>
    <w:link w:val="StrktcitatTegn"/>
    <w:uiPriority w:val="30"/>
    <w:qFormat/>
    <w:rsid w:val="006D7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D74B9"/>
    <w:rPr>
      <w:i/>
      <w:iCs/>
      <w:color w:val="0F4761" w:themeColor="accent1" w:themeShade="BF"/>
    </w:rPr>
  </w:style>
  <w:style w:type="character" w:styleId="Kraftighenvisning">
    <w:name w:val="Intense Reference"/>
    <w:basedOn w:val="Standardskrifttypeiafsnit"/>
    <w:uiPriority w:val="32"/>
    <w:qFormat/>
    <w:rsid w:val="006D74B9"/>
    <w:rPr>
      <w:b/>
      <w:bCs/>
      <w:smallCaps/>
      <w:color w:val="0F4761" w:themeColor="accent1" w:themeShade="BF"/>
      <w:spacing w:val="5"/>
    </w:rPr>
  </w:style>
  <w:style w:type="paragraph" w:styleId="Fodnotetekst">
    <w:name w:val="footnote text"/>
    <w:basedOn w:val="Normal"/>
    <w:link w:val="FodnotetekstTegn"/>
    <w:uiPriority w:val="99"/>
    <w:semiHidden/>
    <w:unhideWhenUsed/>
    <w:rsid w:val="006D74B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D74B9"/>
    <w:rPr>
      <w:sz w:val="20"/>
      <w:szCs w:val="20"/>
    </w:rPr>
  </w:style>
  <w:style w:type="character" w:styleId="Fodnotehenvisning">
    <w:name w:val="footnote reference"/>
    <w:basedOn w:val="Standardskrifttypeiafsnit"/>
    <w:uiPriority w:val="99"/>
    <w:semiHidden/>
    <w:unhideWhenUsed/>
    <w:rsid w:val="006D7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63A8-C2A2-4966-BEA3-F03B4B06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872</Words>
  <Characters>5326</Characters>
  <Application>Microsoft Office Word</Application>
  <DocSecurity>0</DocSecurity>
  <Lines>44</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Rechnagel Szulevicz</dc:creator>
  <cp:keywords/>
  <dc:description/>
  <cp:lastModifiedBy>Anne Sofie Rechnagel Szulevicz</cp:lastModifiedBy>
  <cp:revision>8</cp:revision>
  <dcterms:created xsi:type="dcterms:W3CDTF">2024-03-14T15:12:00Z</dcterms:created>
  <dcterms:modified xsi:type="dcterms:W3CDTF">2024-03-14T15:23:00Z</dcterms:modified>
</cp:coreProperties>
</file>