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68C1" w14:textId="400FD3FF" w:rsidR="00F9470D" w:rsidRPr="00F9470D" w:rsidRDefault="00F9470D" w:rsidP="004A7843">
      <w:pPr>
        <w:rPr>
          <w:rFonts w:ascii="Calibri" w:hAnsi="Calibri" w:cs="Calibri"/>
          <w:b/>
          <w:bCs/>
          <w:sz w:val="28"/>
          <w:szCs w:val="28"/>
        </w:rPr>
      </w:pPr>
      <w:r w:rsidRPr="00F9470D">
        <w:rPr>
          <w:rFonts w:ascii="Calibri" w:hAnsi="Calibri" w:cs="Calibri"/>
          <w:b/>
          <w:bCs/>
          <w:sz w:val="28"/>
          <w:szCs w:val="28"/>
        </w:rPr>
        <w:t>KILDE</w:t>
      </w:r>
      <w:r w:rsidRPr="00F9470D">
        <w:rPr>
          <w:rFonts w:ascii="Calibri" w:hAnsi="Calibri" w:cs="Calibri"/>
          <w:b/>
          <w:bCs/>
          <w:sz w:val="28"/>
          <w:szCs w:val="28"/>
        </w:rPr>
        <w:tab/>
        <w:t>Hans Egedes syn på grønlændere</w:t>
      </w:r>
      <w:r w:rsidR="00DC007D">
        <w:rPr>
          <w:rFonts w:ascii="Calibri" w:hAnsi="Calibri" w:cs="Calibri"/>
          <w:b/>
          <w:bCs/>
          <w:sz w:val="28"/>
          <w:szCs w:val="28"/>
        </w:rPr>
        <w:t>, Årstal?</w:t>
      </w:r>
    </w:p>
    <w:p w14:paraId="7AA13686" w14:textId="39459BE6" w:rsidR="00F9470D" w:rsidRPr="00EE53A3" w:rsidRDefault="00F9470D" w:rsidP="004A7843">
      <w:pPr>
        <w:rPr>
          <w:rFonts w:ascii="Calibri" w:hAnsi="Calibri" w:cs="Calibri"/>
          <w:sz w:val="22"/>
          <w:szCs w:val="22"/>
        </w:rPr>
      </w:pPr>
      <w:r w:rsidRPr="00F9470D">
        <w:rPr>
          <w:rFonts w:ascii="Calibri" w:hAnsi="Calibri" w:cs="Calibri"/>
          <w:sz w:val="22"/>
          <w:szCs w:val="22"/>
        </w:rPr>
        <w:t xml:space="preserve">his2rie.dk – Det moderne Grønland </w:t>
      </w:r>
      <w:hyperlink r:id="rId6" w:history="1">
        <w:r w:rsidRPr="00F9470D">
          <w:rPr>
            <w:rStyle w:val="Hyperlink"/>
            <w:rFonts w:ascii="Calibri" w:hAnsi="Calibri" w:cs="Calibri"/>
            <w:color w:val="215E99" w:themeColor="text2" w:themeTint="BF"/>
            <w:sz w:val="22"/>
            <w:szCs w:val="22"/>
          </w:rPr>
          <w:t>Tekst 5</w:t>
        </w:r>
      </w:hyperlink>
      <w:r w:rsidR="00EE53A3">
        <w:rPr>
          <w:rFonts w:ascii="Calibri" w:hAnsi="Calibri" w:cs="Calibri"/>
          <w:color w:val="215E99" w:themeColor="text2" w:themeTint="BF"/>
          <w:sz w:val="22"/>
          <w:szCs w:val="22"/>
        </w:rPr>
        <w:tab/>
      </w:r>
      <w:r w:rsidR="00EE53A3">
        <w:rPr>
          <w:rFonts w:ascii="Calibri" w:hAnsi="Calibri" w:cs="Calibri"/>
          <w:color w:val="215E99" w:themeColor="text2" w:themeTint="BF"/>
          <w:sz w:val="22"/>
          <w:szCs w:val="22"/>
        </w:rPr>
        <w:tab/>
        <w:t>(</w:t>
      </w:r>
      <w:r w:rsidR="00EE53A3" w:rsidRPr="00EE53A3">
        <w:rPr>
          <w:rFonts w:ascii="Calibri" w:hAnsi="Calibri" w:cs="Calibri"/>
          <w:sz w:val="22"/>
          <w:szCs w:val="22"/>
        </w:rPr>
        <w:t>Teksten nedenfor er omskrevet til nudansk</w:t>
      </w:r>
      <w:r w:rsidR="00EE53A3">
        <w:rPr>
          <w:rFonts w:ascii="Calibri" w:hAnsi="Calibri" w:cs="Calibri"/>
          <w:sz w:val="22"/>
          <w:szCs w:val="22"/>
        </w:rPr>
        <w:t>)</w:t>
      </w:r>
    </w:p>
    <w:p w14:paraId="4C5F9AB6" w14:textId="5C8440F2" w:rsidR="00EE53A3" w:rsidRPr="00EE53A3" w:rsidRDefault="00F9470D" w:rsidP="004A7843">
      <w:pPr>
        <w:rPr>
          <w:rFonts w:ascii="Calibri" w:hAnsi="Calibri" w:cs="Calibri"/>
          <w:i/>
          <w:iCs/>
          <w:sz w:val="22"/>
          <w:szCs w:val="22"/>
        </w:rPr>
      </w:pPr>
      <w:r w:rsidRPr="00F9470D">
        <w:rPr>
          <w:rFonts w:ascii="Calibri" w:hAnsi="Calibri" w:cs="Calibri"/>
          <w:i/>
          <w:iCs/>
          <w:sz w:val="22"/>
          <w:szCs w:val="22"/>
        </w:rPr>
        <w:t>Den norske præst Hans Egede var forfærdet over inuitternes seksualmoral, som var en ganske anden end den lutheranske tradition, som Egede bragte med sig. Teksten er fra Egedes bog om</w:t>
      </w:r>
      <w:r w:rsidRPr="00F9470D">
        <w:rPr>
          <w:rFonts w:ascii="Calibri" w:hAnsi="Calibri" w:cs="Calibri"/>
          <w:sz w:val="22"/>
          <w:szCs w:val="22"/>
        </w:rPr>
        <w:t> </w:t>
      </w:r>
      <w:r w:rsidR="00EE53A3">
        <w:rPr>
          <w:rFonts w:ascii="Calibri" w:hAnsi="Calibri" w:cs="Calibri"/>
          <w:sz w:val="22"/>
          <w:szCs w:val="22"/>
        </w:rPr>
        <w:t>’</w:t>
      </w:r>
      <w:r w:rsidRPr="00EE53A3">
        <w:rPr>
          <w:rFonts w:ascii="Calibri" w:hAnsi="Calibri" w:cs="Calibri"/>
          <w:i/>
          <w:iCs/>
          <w:sz w:val="22"/>
          <w:szCs w:val="22"/>
        </w:rPr>
        <w:t>Om Grønlændern</w:t>
      </w:r>
      <w:r w:rsidR="00EE53A3" w:rsidRPr="00EE53A3">
        <w:rPr>
          <w:rFonts w:ascii="Calibri" w:hAnsi="Calibri" w:cs="Calibri"/>
          <w:i/>
          <w:iCs/>
          <w:sz w:val="22"/>
          <w:szCs w:val="22"/>
        </w:rPr>
        <w:t>e</w:t>
      </w:r>
      <w:r w:rsidRPr="00EE53A3">
        <w:rPr>
          <w:rFonts w:ascii="Calibri" w:hAnsi="Calibri" w:cs="Calibri"/>
          <w:i/>
          <w:iCs/>
          <w:sz w:val="22"/>
          <w:szCs w:val="22"/>
        </w:rPr>
        <w:t>s Ægteskab og Børne-optugtelse</w:t>
      </w:r>
      <w:r w:rsidR="00EE53A3">
        <w:rPr>
          <w:rFonts w:ascii="Calibri" w:hAnsi="Calibri" w:cs="Calibri"/>
          <w:i/>
          <w:iCs/>
          <w:sz w:val="22"/>
          <w:szCs w:val="22"/>
        </w:rPr>
        <w:t>’</w:t>
      </w:r>
      <w:r w:rsidRPr="00EE53A3">
        <w:rPr>
          <w:rFonts w:ascii="Calibri" w:hAnsi="Calibri" w:cs="Calibri"/>
          <w:i/>
          <w:iCs/>
          <w:sz w:val="22"/>
          <w:szCs w:val="22"/>
        </w:rPr>
        <w:t>.</w:t>
      </w:r>
    </w:p>
    <w:p w14:paraId="6D8A9643" w14:textId="26649701" w:rsidR="004A7843" w:rsidRPr="004A7843" w:rsidRDefault="004A7843" w:rsidP="004A7843">
      <w:pPr>
        <w:rPr>
          <w:rFonts w:ascii="Calibri" w:hAnsi="Calibri" w:cs="Calibri"/>
          <w:sz w:val="22"/>
          <w:szCs w:val="22"/>
        </w:rPr>
      </w:pPr>
      <w:r w:rsidRPr="004A7843">
        <w:rPr>
          <w:rFonts w:ascii="Calibri" w:hAnsi="Calibri" w:cs="Calibri"/>
          <w:sz w:val="22"/>
          <w:szCs w:val="22"/>
        </w:rPr>
        <w:t>I lang tid kunne vi ikke mærke, at mændene holdt sig til andre kvinder end deres egne, eller at kvinderne holdt sig til andre mænd. Men til sidst erfarede vi dog, at de ikke tager det så nøje i sådanne tilfælde. Det kan man tydeligt se af en skik blandt dem, som bedst kan beskrives som en slags fælles horeleg. Den foregår sådan:</w:t>
      </w:r>
    </w:p>
    <w:p w14:paraId="78B37B47" w14:textId="77777777" w:rsidR="004A7843" w:rsidRPr="004A7843" w:rsidRDefault="004A7843" w:rsidP="004A7843">
      <w:pPr>
        <w:rPr>
          <w:rFonts w:ascii="Calibri" w:hAnsi="Calibri" w:cs="Calibri"/>
          <w:sz w:val="22"/>
          <w:szCs w:val="22"/>
        </w:rPr>
      </w:pPr>
      <w:r w:rsidRPr="004A7843">
        <w:rPr>
          <w:rFonts w:ascii="Calibri" w:hAnsi="Calibri" w:cs="Calibri"/>
          <w:sz w:val="22"/>
          <w:szCs w:val="22"/>
        </w:rPr>
        <w:t>En hel flok mænd og kvinder samles, næsten som til en fest. Efter at være blevet godt trakteret med mad, begynder de at synge og danse på deres egen måde. Imens går den ene efter den anden med en andens kone bag et forhæng eller et skillerum af skind, som er sat op i den ene ende af huset, på briksen hvor de ligger, for at kærtegne hinanden. (De regnes for de bedste og ædleste af dem, som uden modvilje låner deres koner ud til andre.)</w:t>
      </w:r>
    </w:p>
    <w:p w14:paraId="188D4536" w14:textId="77777777" w:rsidR="004A7843" w:rsidRPr="004A7843" w:rsidRDefault="004A7843" w:rsidP="004A7843">
      <w:pPr>
        <w:rPr>
          <w:rFonts w:ascii="Calibri" w:hAnsi="Calibri" w:cs="Calibri"/>
          <w:sz w:val="22"/>
          <w:szCs w:val="22"/>
        </w:rPr>
      </w:pPr>
      <w:r w:rsidRPr="004A7843">
        <w:rPr>
          <w:rFonts w:ascii="Calibri" w:hAnsi="Calibri" w:cs="Calibri"/>
          <w:sz w:val="22"/>
          <w:szCs w:val="22"/>
        </w:rPr>
        <w:t>Men til denne skammelige horeleg kommer kun de gifte, for de mener, at det kun sømmer sig for dem. Især anser kvinderne det for en lykke og ære at blive lagt ned af en angakok — deres profeter og højlærde mænd. Ja, mange mænd ser det endda gerne og betaler angakokken for at sove med deres koner, især hvis de ikke selv kan få børn med dem. For de mener, at et barn, som en angakok har avlet med deres kone, vil blive dygtigt og lykkeligt frem for andre. (...)</w:t>
      </w:r>
    </w:p>
    <w:p w14:paraId="2483AE3C" w14:textId="390F7525" w:rsidR="004A7843" w:rsidRPr="004A7843" w:rsidRDefault="003E176E" w:rsidP="004A7843">
      <w:pPr>
        <w:rPr>
          <w:rFonts w:ascii="Calibri" w:hAnsi="Calibri" w:cs="Calibri"/>
          <w:sz w:val="22"/>
          <w:szCs w:val="22"/>
        </w:rPr>
      </w:pPr>
      <w:r>
        <w:rPr>
          <w:rFonts w:ascii="Calibri" w:hAnsi="Calibri" w:cs="Calibri"/>
          <w:sz w:val="22"/>
          <w:szCs w:val="22"/>
        </w:rPr>
        <w:t>J</w:t>
      </w:r>
      <w:r w:rsidR="004A7843" w:rsidRPr="004A7843">
        <w:rPr>
          <w:rFonts w:ascii="Calibri" w:hAnsi="Calibri" w:cs="Calibri"/>
          <w:sz w:val="22"/>
          <w:szCs w:val="22"/>
        </w:rPr>
        <w:t>omfruer og unge piger derimod er ganske blufærdige. Vi har aldrig set, at de har haft nogen løs omgang med unge mænd eller givet det mindste tegn på det, hverken i ord eller handling. I de 15 år jeg var i Grønland, kender jeg kun 2 eller 3 piger, som blev gjort gravide uden for ægteskab, for de anser det for en stor skam.</w:t>
      </w:r>
    </w:p>
    <w:p w14:paraId="6ABFFC2D" w14:textId="77777777" w:rsidR="004A7843" w:rsidRPr="004A7843" w:rsidRDefault="004A7843" w:rsidP="004A7843">
      <w:pPr>
        <w:rPr>
          <w:rFonts w:ascii="Calibri" w:hAnsi="Calibri" w:cs="Calibri"/>
          <w:sz w:val="22"/>
          <w:szCs w:val="22"/>
        </w:rPr>
      </w:pPr>
      <w:r w:rsidRPr="004A7843">
        <w:rPr>
          <w:rFonts w:ascii="Calibri" w:hAnsi="Calibri" w:cs="Calibri"/>
          <w:sz w:val="22"/>
          <w:szCs w:val="22"/>
        </w:rPr>
        <w:t>Det er bemærkelsesværdigt, at naturlig ærbarhed også viser sig hos dem ved, at de ikke gifter sig med deres slægtninge — ikke engang i tredje led. De mener, det er usømmeligt og siger, at sådan gør man ikke hos dem. Det anses også for forkert, hvis en dreng og en pige, som er opfostret sammen hos en mand, vil gifte sig med hinanden, for de regnes næsten som søskende.</w:t>
      </w:r>
    </w:p>
    <w:p w14:paraId="623A3605" w14:textId="77777777" w:rsidR="004A7843" w:rsidRPr="004A7843" w:rsidRDefault="004A7843" w:rsidP="004A7843">
      <w:pPr>
        <w:rPr>
          <w:rFonts w:ascii="Calibri" w:hAnsi="Calibri" w:cs="Calibri"/>
          <w:sz w:val="22"/>
          <w:szCs w:val="22"/>
        </w:rPr>
      </w:pPr>
      <w:r w:rsidRPr="004A7843">
        <w:rPr>
          <w:rFonts w:ascii="Calibri" w:hAnsi="Calibri" w:cs="Calibri"/>
          <w:sz w:val="22"/>
          <w:szCs w:val="22"/>
        </w:rPr>
        <w:t xml:space="preserve">De ceremonier, de bruger ved begyndelsen af et ægteskab — som hos dem står i stedet for brudevielse og bryllup — er følgende: Når en ung mand har fået lyst til en pige, fortæller han det først til sine forældre og venner, og når de har givet deres samtykke, hyrer han to eller flere gamle koner, som skal hente bruden til ham (men en modig karl henter selv sin brud). Disse kvinder går hen til pigen, tager hende med magt og slæber hende med sig. For selvom pigen egentlig gerne vil giftes, må hun af blufærdighed lade som om det sker imod hendes vilje, ellers bliver hun beskyldt for at være </w:t>
      </w:r>
      <w:proofErr w:type="spellStart"/>
      <w:r w:rsidRPr="004A7843">
        <w:rPr>
          <w:rFonts w:ascii="Calibri" w:hAnsi="Calibri" w:cs="Calibri"/>
          <w:sz w:val="22"/>
          <w:szCs w:val="22"/>
        </w:rPr>
        <w:t>giftsyg</w:t>
      </w:r>
      <w:proofErr w:type="spellEnd"/>
      <w:r w:rsidRPr="004A7843">
        <w:rPr>
          <w:rFonts w:ascii="Calibri" w:hAnsi="Calibri" w:cs="Calibri"/>
          <w:sz w:val="22"/>
          <w:szCs w:val="22"/>
        </w:rPr>
        <w:t>.</w:t>
      </w:r>
    </w:p>
    <w:p w14:paraId="4218CEA5" w14:textId="77777777" w:rsidR="004A7843" w:rsidRPr="004A7843" w:rsidRDefault="004A7843" w:rsidP="004A7843">
      <w:pPr>
        <w:rPr>
          <w:rFonts w:ascii="Calibri" w:hAnsi="Calibri" w:cs="Calibri"/>
          <w:sz w:val="22"/>
          <w:szCs w:val="22"/>
        </w:rPr>
      </w:pPr>
      <w:r w:rsidRPr="004A7843">
        <w:rPr>
          <w:rFonts w:ascii="Calibri" w:hAnsi="Calibri" w:cs="Calibri"/>
          <w:sz w:val="22"/>
          <w:szCs w:val="22"/>
        </w:rPr>
        <w:t>Når hun kommer til huset, hvor brudgommen er, holder hun sig for sig selv en tid og sidder i en krog på briksen med håret slået ud over ansigtet af skam og blufærdighed. Imens gør frieren sit bedste for at overtale hende, indtil hun til sidst lader sig overtale til at lægge sig ved hans side — og så er brylluppet gjort. Den korteste proces er dog bare at gå direkte i seng uden at tale med hverken pigen eller hendes forældre.</w:t>
      </w:r>
    </w:p>
    <w:p w14:paraId="4CBC6D4D" w14:textId="77777777" w:rsidR="004A7843" w:rsidRPr="004A7843" w:rsidRDefault="004A7843" w:rsidP="004A7843">
      <w:pPr>
        <w:rPr>
          <w:rFonts w:ascii="Calibri" w:hAnsi="Calibri" w:cs="Calibri"/>
          <w:sz w:val="22"/>
          <w:szCs w:val="22"/>
        </w:rPr>
      </w:pPr>
      <w:r w:rsidRPr="004A7843">
        <w:rPr>
          <w:rFonts w:ascii="Calibri" w:hAnsi="Calibri" w:cs="Calibri"/>
          <w:sz w:val="22"/>
          <w:szCs w:val="22"/>
        </w:rPr>
        <w:lastRenderedPageBreak/>
        <w:t>Men deres ægteskab er ikke en så fast og uopløselig kontrakt, for mændene skiller sig ofte af med deres hustruer og jager dem bort, hvis de ikke kan få børn med dem (for det regnes som en skam). Så tager de andre i stedet. Men hvis de har børn sammen, bærer de meget over med hinanden og bliver sammen til døden. Det er heller ikke usædvanligt, at mændene giver deres koner slag og blå øjne for deres stædighed og egenrådighed, og bagefter er de lige gode venner igen. Det betyder ikke så meget, om en kone får slag af sin mand. Men hvis en pige får prygl af sin husbond, bliver det stærkt kritiseret. Det anses også for slemt, hvis en mor slår sine børn, men slår hun sin tjenestepige, bliver hun regnet for den værste og mest arrige og bliver dårligt omtalt.</w:t>
      </w:r>
    </w:p>
    <w:p w14:paraId="7CE52740" w14:textId="45DEE5BB" w:rsidR="008E0B97" w:rsidRPr="00F9470D" w:rsidRDefault="004A7843">
      <w:pPr>
        <w:rPr>
          <w:rFonts w:ascii="Calibri" w:hAnsi="Calibri" w:cs="Calibri"/>
          <w:sz w:val="22"/>
          <w:szCs w:val="22"/>
        </w:rPr>
      </w:pPr>
      <w:r w:rsidRPr="00F9470D">
        <w:rPr>
          <w:rFonts w:ascii="Calibri" w:hAnsi="Calibri" w:cs="Calibri"/>
          <w:sz w:val="22"/>
          <w:szCs w:val="22"/>
        </w:rPr>
        <w:t>Når nogen dør, gifter den efterladte sig igen, uanset om det er manden eller kvinden.</w:t>
      </w:r>
    </w:p>
    <w:p w14:paraId="1089AF02" w14:textId="77777777" w:rsidR="004A7843" w:rsidRPr="00F9470D" w:rsidRDefault="004A7843">
      <w:pPr>
        <w:rPr>
          <w:rFonts w:ascii="Calibri" w:hAnsi="Calibri" w:cs="Calibri"/>
          <w:sz w:val="22"/>
          <w:szCs w:val="22"/>
        </w:rPr>
      </w:pPr>
    </w:p>
    <w:sectPr w:rsidR="004A7843" w:rsidRPr="00F9470D" w:rsidSect="00F9470D">
      <w:footerReference w:type="default" r:id="rId7"/>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5112" w14:textId="77777777" w:rsidR="00BA14BD" w:rsidRDefault="00BA14BD" w:rsidP="00F9470D">
      <w:pPr>
        <w:spacing w:after="0" w:line="240" w:lineRule="auto"/>
      </w:pPr>
      <w:r>
        <w:separator/>
      </w:r>
    </w:p>
  </w:endnote>
  <w:endnote w:type="continuationSeparator" w:id="0">
    <w:p w14:paraId="07803CB8" w14:textId="77777777" w:rsidR="00BA14BD" w:rsidRDefault="00BA14BD" w:rsidP="00F9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764453"/>
      <w:docPartObj>
        <w:docPartGallery w:val="Page Numbers (Bottom of Page)"/>
        <w:docPartUnique/>
      </w:docPartObj>
    </w:sdtPr>
    <w:sdtEndPr/>
    <w:sdtContent>
      <w:p w14:paraId="0D031FEA" w14:textId="68325078" w:rsidR="00F9470D" w:rsidRDefault="00EE53A3">
        <w:pPr>
          <w:pStyle w:val="Sidefod"/>
          <w:jc w:val="right"/>
        </w:pPr>
        <w:r>
          <w:t>’</w:t>
        </w:r>
        <w:r w:rsidR="00F9470D">
          <w:fldChar w:fldCharType="begin"/>
        </w:r>
        <w:r w:rsidR="00F9470D">
          <w:instrText>PAGE   \* MERGEFORMAT</w:instrText>
        </w:r>
        <w:r w:rsidR="00F9470D">
          <w:fldChar w:fldCharType="separate"/>
        </w:r>
        <w:r w:rsidR="00F9470D">
          <w:t>2</w:t>
        </w:r>
        <w:r w:rsidR="00F9470D">
          <w:fldChar w:fldCharType="end"/>
        </w:r>
      </w:p>
    </w:sdtContent>
  </w:sdt>
  <w:p w14:paraId="15F9D23E" w14:textId="77777777" w:rsidR="00F9470D" w:rsidRDefault="00F947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6379" w14:textId="77777777" w:rsidR="00BA14BD" w:rsidRDefault="00BA14BD" w:rsidP="00F9470D">
      <w:pPr>
        <w:spacing w:after="0" w:line="240" w:lineRule="auto"/>
      </w:pPr>
      <w:r>
        <w:separator/>
      </w:r>
    </w:p>
  </w:footnote>
  <w:footnote w:type="continuationSeparator" w:id="0">
    <w:p w14:paraId="6C95D48F" w14:textId="77777777" w:rsidR="00BA14BD" w:rsidRDefault="00BA14BD" w:rsidP="00F947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43"/>
    <w:rsid w:val="0025633B"/>
    <w:rsid w:val="0026282C"/>
    <w:rsid w:val="003C56C5"/>
    <w:rsid w:val="003E176E"/>
    <w:rsid w:val="004A7843"/>
    <w:rsid w:val="006B64E4"/>
    <w:rsid w:val="008E0B97"/>
    <w:rsid w:val="009761FB"/>
    <w:rsid w:val="00A75A6B"/>
    <w:rsid w:val="00B101A2"/>
    <w:rsid w:val="00BA14BD"/>
    <w:rsid w:val="00CC4A6D"/>
    <w:rsid w:val="00DC007D"/>
    <w:rsid w:val="00E3529A"/>
    <w:rsid w:val="00EE53A3"/>
    <w:rsid w:val="00F947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D46D"/>
  <w15:chartTrackingRefBased/>
  <w15:docId w15:val="{28969042-2B8F-4311-83A7-D1097A47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7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7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78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78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78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784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784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784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784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78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78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784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784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784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784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784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784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7843"/>
    <w:rPr>
      <w:rFonts w:eastAsiaTheme="majorEastAsia" w:cstheme="majorBidi"/>
      <w:color w:val="272727" w:themeColor="text1" w:themeTint="D8"/>
    </w:rPr>
  </w:style>
  <w:style w:type="paragraph" w:styleId="Titel">
    <w:name w:val="Title"/>
    <w:basedOn w:val="Normal"/>
    <w:next w:val="Normal"/>
    <w:link w:val="TitelTegn"/>
    <w:uiPriority w:val="10"/>
    <w:qFormat/>
    <w:rsid w:val="004A7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784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784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784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784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7843"/>
    <w:rPr>
      <w:i/>
      <w:iCs/>
      <w:color w:val="404040" w:themeColor="text1" w:themeTint="BF"/>
    </w:rPr>
  </w:style>
  <w:style w:type="paragraph" w:styleId="Listeafsnit">
    <w:name w:val="List Paragraph"/>
    <w:basedOn w:val="Normal"/>
    <w:uiPriority w:val="34"/>
    <w:qFormat/>
    <w:rsid w:val="004A7843"/>
    <w:pPr>
      <w:ind w:left="720"/>
      <w:contextualSpacing/>
    </w:pPr>
  </w:style>
  <w:style w:type="character" w:styleId="Kraftigfremhvning">
    <w:name w:val="Intense Emphasis"/>
    <w:basedOn w:val="Standardskrifttypeiafsnit"/>
    <w:uiPriority w:val="21"/>
    <w:qFormat/>
    <w:rsid w:val="004A7843"/>
    <w:rPr>
      <w:i/>
      <w:iCs/>
      <w:color w:val="0F4761" w:themeColor="accent1" w:themeShade="BF"/>
    </w:rPr>
  </w:style>
  <w:style w:type="paragraph" w:styleId="Strktcitat">
    <w:name w:val="Intense Quote"/>
    <w:basedOn w:val="Normal"/>
    <w:next w:val="Normal"/>
    <w:link w:val="StrktcitatTegn"/>
    <w:uiPriority w:val="30"/>
    <w:qFormat/>
    <w:rsid w:val="004A7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7843"/>
    <w:rPr>
      <w:i/>
      <w:iCs/>
      <w:color w:val="0F4761" w:themeColor="accent1" w:themeShade="BF"/>
    </w:rPr>
  </w:style>
  <w:style w:type="character" w:styleId="Kraftighenvisning">
    <w:name w:val="Intense Reference"/>
    <w:basedOn w:val="Standardskrifttypeiafsnit"/>
    <w:uiPriority w:val="32"/>
    <w:qFormat/>
    <w:rsid w:val="004A7843"/>
    <w:rPr>
      <w:b/>
      <w:bCs/>
      <w:smallCaps/>
      <w:color w:val="0F4761" w:themeColor="accent1" w:themeShade="BF"/>
      <w:spacing w:val="5"/>
    </w:rPr>
  </w:style>
  <w:style w:type="character" w:styleId="Linjenummer">
    <w:name w:val="line number"/>
    <w:basedOn w:val="Standardskrifttypeiafsnit"/>
    <w:uiPriority w:val="99"/>
    <w:semiHidden/>
    <w:unhideWhenUsed/>
    <w:rsid w:val="00F9470D"/>
  </w:style>
  <w:style w:type="character" w:styleId="Hyperlink">
    <w:name w:val="Hyperlink"/>
    <w:basedOn w:val="Standardskrifttypeiafsnit"/>
    <w:uiPriority w:val="99"/>
    <w:unhideWhenUsed/>
    <w:rsid w:val="00F9470D"/>
    <w:rPr>
      <w:color w:val="467886" w:themeColor="hyperlink"/>
      <w:u w:val="single"/>
    </w:rPr>
  </w:style>
  <w:style w:type="character" w:styleId="Ulstomtale">
    <w:name w:val="Unresolved Mention"/>
    <w:basedOn w:val="Standardskrifttypeiafsnit"/>
    <w:uiPriority w:val="99"/>
    <w:semiHidden/>
    <w:unhideWhenUsed/>
    <w:rsid w:val="00F9470D"/>
    <w:rPr>
      <w:color w:val="605E5C"/>
      <w:shd w:val="clear" w:color="auto" w:fill="E1DFDD"/>
    </w:rPr>
  </w:style>
  <w:style w:type="character" w:styleId="BesgtLink">
    <w:name w:val="FollowedHyperlink"/>
    <w:basedOn w:val="Standardskrifttypeiafsnit"/>
    <w:uiPriority w:val="99"/>
    <w:semiHidden/>
    <w:unhideWhenUsed/>
    <w:rsid w:val="00F9470D"/>
    <w:rPr>
      <w:color w:val="96607D" w:themeColor="followedHyperlink"/>
      <w:u w:val="single"/>
    </w:rPr>
  </w:style>
  <w:style w:type="paragraph" w:styleId="Sidehoved">
    <w:name w:val="header"/>
    <w:basedOn w:val="Normal"/>
    <w:link w:val="SidehovedTegn"/>
    <w:uiPriority w:val="99"/>
    <w:unhideWhenUsed/>
    <w:rsid w:val="00F947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470D"/>
  </w:style>
  <w:style w:type="paragraph" w:styleId="Sidefod">
    <w:name w:val="footer"/>
    <w:basedOn w:val="Normal"/>
    <w:link w:val="SidefodTegn"/>
    <w:uiPriority w:val="99"/>
    <w:unhideWhenUsed/>
    <w:rsid w:val="00F947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2rie.dk/kildetekster/det-moderne-groenland-fra-koloni-til-selvstyre/tekst-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2</cp:revision>
  <cp:lastPrinted>2026-02-05T11:41:00Z</cp:lastPrinted>
  <dcterms:created xsi:type="dcterms:W3CDTF">2026-04-15T11:11:00Z</dcterms:created>
  <dcterms:modified xsi:type="dcterms:W3CDTF">2026-04-15T11:11:00Z</dcterms:modified>
</cp:coreProperties>
</file>