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5639" w14:textId="3F2A63A5" w:rsidR="004B6A01" w:rsidRPr="004B6A01" w:rsidRDefault="004B6A01" w:rsidP="004B6A01">
      <w:pPr>
        <w:pStyle w:val="Overskrift2"/>
      </w:pPr>
      <w:r>
        <w:t>Opgave 1:</w:t>
      </w:r>
      <w:r w:rsidRPr="004B6A01">
        <w:t xml:space="preserve"> </w:t>
      </w:r>
      <w:r>
        <w:t>D</w:t>
      </w:r>
      <w:r w:rsidRPr="004B6A01">
        <w:t>iskursanalyse</w:t>
      </w:r>
    </w:p>
    <w:p w14:paraId="6334C131" w14:textId="039B16C4" w:rsidR="004B6A01" w:rsidRPr="004B6A01" w:rsidRDefault="004B6A01" w:rsidP="004B6A01">
      <w:pPr>
        <w:numPr>
          <w:ilvl w:val="0"/>
          <w:numId w:val="1"/>
        </w:numPr>
      </w:pPr>
      <w:r w:rsidRPr="004B6A01">
        <w:t>Klassen inddeles i tre grupper. I skal lave en diskursanalyse på det bilag</w:t>
      </w:r>
      <w:r>
        <w:t xml:space="preserve"> </w:t>
      </w:r>
      <w:r w:rsidRPr="004B6A01">
        <w:t xml:space="preserve">(A1, A2 eller A3) jeres gruppe tildeles. </w:t>
      </w:r>
    </w:p>
    <w:p w14:paraId="6557EFCB" w14:textId="7829B83E" w:rsidR="004B6A01" w:rsidRDefault="004B6A01" w:rsidP="004B6A01">
      <w:pPr>
        <w:numPr>
          <w:ilvl w:val="1"/>
          <w:numId w:val="1"/>
        </w:numPr>
      </w:pPr>
      <w:r>
        <w:t>Udfyld nedenstående skema med</w:t>
      </w:r>
      <w:r w:rsidRPr="004B6A01">
        <w:t xml:space="preserve"> </w:t>
      </w:r>
      <w:proofErr w:type="spellStart"/>
      <w:r w:rsidRPr="004B6A01">
        <w:t>nodalpunkt</w:t>
      </w:r>
      <w:proofErr w:type="spellEnd"/>
      <w:r>
        <w:t>, momenter, ækvivalenskæder, differenskæder og eventuelle antagonismer.</w:t>
      </w:r>
    </w:p>
    <w:p w14:paraId="3080782E" w14:textId="76897455" w:rsidR="004B6A01" w:rsidRDefault="004B6A01" w:rsidP="004B6A01">
      <w:pPr>
        <w:numPr>
          <w:ilvl w:val="1"/>
          <w:numId w:val="1"/>
        </w:numPr>
      </w:pPr>
      <w:r>
        <w:t>På baggrund af skemaet skal I skrive en tekst, hvor I sammenfatter det hele og inkluderer citater.</w:t>
      </w:r>
    </w:p>
    <w:p w14:paraId="471CB614" w14:textId="42515C8E" w:rsidR="004B6A01" w:rsidRPr="004B6A01" w:rsidRDefault="004B6A01" w:rsidP="004B6A01">
      <w:pPr>
        <w:numPr>
          <w:ilvl w:val="1"/>
          <w:numId w:val="1"/>
        </w:numPr>
      </w:pPr>
      <w:r>
        <w:t>I forlængelse af analysen skal I også forklare partiets diskurs vha. Molins eller Strøms teorier om partiadfærd.</w:t>
      </w:r>
    </w:p>
    <w:p w14:paraId="3381EB6B" w14:textId="0AD99A8B" w:rsidR="004B6A01" w:rsidRDefault="004B6A01" w:rsidP="004B6A01">
      <w:pPr>
        <w:numPr>
          <w:ilvl w:val="0"/>
          <w:numId w:val="1"/>
        </w:numPr>
      </w:pPr>
      <w:r w:rsidRPr="004B6A01">
        <w:t>Fælles opsamling</w:t>
      </w:r>
      <w:r>
        <w:t>.</w:t>
      </w:r>
    </w:p>
    <w:p w14:paraId="4ED19949" w14:textId="316EA198" w:rsidR="004B6A01" w:rsidRDefault="004B6A01" w:rsidP="004B6A01">
      <w:pPr>
        <w:numPr>
          <w:ilvl w:val="0"/>
          <w:numId w:val="1"/>
        </w:numPr>
      </w:pPr>
      <w:r>
        <w:t xml:space="preserve">Find en tale fra Trump eller </w:t>
      </w:r>
      <w:proofErr w:type="spellStart"/>
      <w:r>
        <w:t>Macron</w:t>
      </w:r>
      <w:proofErr w:type="spellEnd"/>
      <w:r>
        <w:t xml:space="preserve"> og lav en diskursanalyse på denne. </w:t>
      </w:r>
    </w:p>
    <w:p w14:paraId="5C9A3761" w14:textId="572D95D3" w:rsidR="004B6A01" w:rsidRDefault="004B6A01" w:rsidP="004B6A01">
      <w:pPr>
        <w:numPr>
          <w:ilvl w:val="0"/>
          <w:numId w:val="1"/>
        </w:numPr>
      </w:pPr>
      <w:r>
        <w:t>Fælles opsamling.</w:t>
      </w:r>
    </w:p>
    <w:tbl>
      <w:tblPr>
        <w:tblStyle w:val="Tabel-Gitter"/>
        <w:tblW w:w="0" w:type="auto"/>
        <w:tblLook w:val="04A0" w:firstRow="1" w:lastRow="0" w:firstColumn="1" w:lastColumn="0" w:noHBand="0" w:noVBand="1"/>
      </w:tblPr>
      <w:tblGrid>
        <w:gridCol w:w="3209"/>
        <w:gridCol w:w="3209"/>
        <w:gridCol w:w="3210"/>
      </w:tblGrid>
      <w:tr w:rsidR="004B6A01" w14:paraId="77DBD43D" w14:textId="77777777" w:rsidTr="0050225B">
        <w:tc>
          <w:tcPr>
            <w:tcW w:w="3209" w:type="dxa"/>
          </w:tcPr>
          <w:p w14:paraId="1E7327B4" w14:textId="77777777" w:rsidR="004B6A01" w:rsidRDefault="004B6A01" w:rsidP="0050225B">
            <w:r>
              <w:t>Spørgsmål</w:t>
            </w:r>
          </w:p>
        </w:tc>
        <w:tc>
          <w:tcPr>
            <w:tcW w:w="3209" w:type="dxa"/>
          </w:tcPr>
          <w:p w14:paraId="42C6DA90" w14:textId="77777777" w:rsidR="004B6A01" w:rsidRDefault="004B6A01" w:rsidP="0050225B">
            <w:r>
              <w:t>Svar</w:t>
            </w:r>
          </w:p>
        </w:tc>
        <w:tc>
          <w:tcPr>
            <w:tcW w:w="3210" w:type="dxa"/>
          </w:tcPr>
          <w:p w14:paraId="61BBACAA" w14:textId="77777777" w:rsidR="004B6A01" w:rsidRDefault="004B6A01" w:rsidP="0050225B">
            <w:r>
              <w:t>Eventuelt citat</w:t>
            </w:r>
          </w:p>
        </w:tc>
      </w:tr>
      <w:tr w:rsidR="004B6A01" w14:paraId="1DE3827D" w14:textId="77777777" w:rsidTr="0050225B">
        <w:tc>
          <w:tcPr>
            <w:tcW w:w="3209" w:type="dxa"/>
          </w:tcPr>
          <w:p w14:paraId="476A2A3C" w14:textId="77777777" w:rsidR="004B6A01" w:rsidRDefault="004B6A01" w:rsidP="0050225B">
            <w:r>
              <w:t>Afsender: Hvem siger hvad og i hvilket medie?</w:t>
            </w:r>
          </w:p>
        </w:tc>
        <w:tc>
          <w:tcPr>
            <w:tcW w:w="3209" w:type="dxa"/>
          </w:tcPr>
          <w:p w14:paraId="4EE32639" w14:textId="22CE81AF" w:rsidR="004B6A01" w:rsidRDefault="004B6A01" w:rsidP="0050225B"/>
        </w:tc>
        <w:tc>
          <w:tcPr>
            <w:tcW w:w="3210" w:type="dxa"/>
          </w:tcPr>
          <w:p w14:paraId="7B3E3E28" w14:textId="77777777" w:rsidR="004B6A01" w:rsidRDefault="004B6A01" w:rsidP="0050225B"/>
        </w:tc>
      </w:tr>
      <w:tr w:rsidR="004B6A01" w14:paraId="636E6350" w14:textId="77777777" w:rsidTr="0050225B">
        <w:tc>
          <w:tcPr>
            <w:tcW w:w="3209" w:type="dxa"/>
          </w:tcPr>
          <w:p w14:paraId="3C11B5ED" w14:textId="77777777" w:rsidR="004B6A01" w:rsidRDefault="004B6A01" w:rsidP="0050225B">
            <w:r>
              <w:t>Modtagere: Hvem er de intenderede og faktiske modtagere af budskabet?</w:t>
            </w:r>
          </w:p>
        </w:tc>
        <w:tc>
          <w:tcPr>
            <w:tcW w:w="3209" w:type="dxa"/>
          </w:tcPr>
          <w:p w14:paraId="0E7D07A3" w14:textId="6751DD28" w:rsidR="004B6A01" w:rsidRDefault="004B6A01" w:rsidP="0050225B"/>
        </w:tc>
        <w:tc>
          <w:tcPr>
            <w:tcW w:w="3210" w:type="dxa"/>
          </w:tcPr>
          <w:p w14:paraId="6D9AB714" w14:textId="77777777" w:rsidR="004B6A01" w:rsidRDefault="004B6A01" w:rsidP="0050225B"/>
        </w:tc>
      </w:tr>
      <w:tr w:rsidR="004B6A01" w14:paraId="12413E0E" w14:textId="77777777" w:rsidTr="0050225B">
        <w:tc>
          <w:tcPr>
            <w:tcW w:w="3209" w:type="dxa"/>
          </w:tcPr>
          <w:p w14:paraId="1CE4E761" w14:textId="77777777" w:rsidR="004B6A01" w:rsidRDefault="004B6A01" w:rsidP="0050225B">
            <w:proofErr w:type="spellStart"/>
            <w:r>
              <w:t>Nodalpunkt</w:t>
            </w:r>
            <w:proofErr w:type="spellEnd"/>
            <w:r>
              <w:t>: Hvad er diskursens centrale betydningsskabende ord eller udtryk?</w:t>
            </w:r>
          </w:p>
        </w:tc>
        <w:tc>
          <w:tcPr>
            <w:tcW w:w="3209" w:type="dxa"/>
          </w:tcPr>
          <w:p w14:paraId="148D3C9F" w14:textId="4A9E256B" w:rsidR="004B6A01" w:rsidRDefault="004B6A01" w:rsidP="0050225B"/>
        </w:tc>
        <w:tc>
          <w:tcPr>
            <w:tcW w:w="3210" w:type="dxa"/>
          </w:tcPr>
          <w:p w14:paraId="095B6513" w14:textId="77777777" w:rsidR="004B6A01" w:rsidRDefault="004B6A01" w:rsidP="0050225B"/>
        </w:tc>
      </w:tr>
      <w:tr w:rsidR="004B6A01" w14:paraId="7796C3F3" w14:textId="77777777" w:rsidTr="0050225B">
        <w:tc>
          <w:tcPr>
            <w:tcW w:w="3209" w:type="dxa"/>
          </w:tcPr>
          <w:p w14:paraId="6BF662BE" w14:textId="77777777" w:rsidR="004B6A01" w:rsidRDefault="004B6A01" w:rsidP="0050225B">
            <w:r>
              <w:t xml:space="preserve">Momenter: Hvilke ord og begreber bliver i diskursen knyttet sammen med </w:t>
            </w:r>
            <w:proofErr w:type="spellStart"/>
            <w:r>
              <w:t>nodalpunktet</w:t>
            </w:r>
            <w:proofErr w:type="spellEnd"/>
            <w:r>
              <w:t>?</w:t>
            </w:r>
          </w:p>
        </w:tc>
        <w:tc>
          <w:tcPr>
            <w:tcW w:w="3209" w:type="dxa"/>
          </w:tcPr>
          <w:p w14:paraId="6637140C" w14:textId="300E4434" w:rsidR="004B6A01" w:rsidRDefault="004B6A01" w:rsidP="0050225B"/>
        </w:tc>
        <w:tc>
          <w:tcPr>
            <w:tcW w:w="3210" w:type="dxa"/>
          </w:tcPr>
          <w:p w14:paraId="6A090878" w14:textId="77777777" w:rsidR="004B6A01" w:rsidRDefault="004B6A01" w:rsidP="0050225B"/>
        </w:tc>
      </w:tr>
      <w:tr w:rsidR="004B6A01" w14:paraId="64EF1A42" w14:textId="77777777" w:rsidTr="0050225B">
        <w:tc>
          <w:tcPr>
            <w:tcW w:w="3209" w:type="dxa"/>
          </w:tcPr>
          <w:p w14:paraId="6DE831BE" w14:textId="77777777" w:rsidR="004B6A01" w:rsidRDefault="004B6A01" w:rsidP="0050225B">
            <w:r>
              <w:t>Ækvivalenskæde: Hvordan skabes der sammenhæng mellem diskursens momenter, og hvilken sammenhæng skabes der?</w:t>
            </w:r>
          </w:p>
        </w:tc>
        <w:tc>
          <w:tcPr>
            <w:tcW w:w="3209" w:type="dxa"/>
          </w:tcPr>
          <w:p w14:paraId="7FC93896" w14:textId="2E5B3990" w:rsidR="004B6A01" w:rsidRDefault="004B6A01" w:rsidP="0050225B"/>
        </w:tc>
        <w:tc>
          <w:tcPr>
            <w:tcW w:w="3210" w:type="dxa"/>
          </w:tcPr>
          <w:p w14:paraId="658CC85A" w14:textId="77777777" w:rsidR="004B6A01" w:rsidRDefault="004B6A01" w:rsidP="0050225B"/>
        </w:tc>
      </w:tr>
      <w:tr w:rsidR="004B6A01" w14:paraId="31F2823A" w14:textId="77777777" w:rsidTr="0050225B">
        <w:tc>
          <w:tcPr>
            <w:tcW w:w="3209" w:type="dxa"/>
          </w:tcPr>
          <w:p w14:paraId="43CF2F97" w14:textId="77777777" w:rsidR="004B6A01" w:rsidRDefault="004B6A01" w:rsidP="0050225B">
            <w:r>
              <w:t>Differens og antagonisme: Lægges der afstand til bestemte ord eller begreber? Fremstilles nogle ord eller begreber direkte eller indirekte som diskursens modsætninger?</w:t>
            </w:r>
          </w:p>
        </w:tc>
        <w:tc>
          <w:tcPr>
            <w:tcW w:w="3209" w:type="dxa"/>
          </w:tcPr>
          <w:p w14:paraId="7E6196FB" w14:textId="7CBC0567" w:rsidR="004B6A01" w:rsidRDefault="004B6A01" w:rsidP="0050225B"/>
        </w:tc>
        <w:tc>
          <w:tcPr>
            <w:tcW w:w="3210" w:type="dxa"/>
          </w:tcPr>
          <w:p w14:paraId="00EA274E" w14:textId="77777777" w:rsidR="004B6A01" w:rsidRDefault="004B6A01" w:rsidP="0050225B"/>
        </w:tc>
      </w:tr>
    </w:tbl>
    <w:p w14:paraId="7E8B2A1B" w14:textId="77777777" w:rsidR="004B6A01" w:rsidRPr="004B6A01" w:rsidRDefault="004B6A01" w:rsidP="004B6A01"/>
    <w:p w14:paraId="6B8AF921" w14:textId="48544089" w:rsidR="004B6A01" w:rsidRPr="004B6A01" w:rsidRDefault="004B6A01" w:rsidP="004B6A01">
      <w:r w:rsidRPr="004B6A01">
        <w:rPr>
          <w:b/>
          <w:bCs/>
        </w:rPr>
        <w:t xml:space="preserve">Bilag A1: Afsnit 6.3: Mere ansvar og bidrag fra regeringsgrundlaget (Uddrag) </w:t>
      </w:r>
    </w:p>
    <w:p w14:paraId="66B7AB2D" w14:textId="633CADE5" w:rsidR="004B6A01" w:rsidRPr="004B6A01" w:rsidRDefault="004B6A01" w:rsidP="004B6A01">
      <w:pPr>
        <w:rPr>
          <w:i/>
          <w:iCs/>
        </w:rPr>
      </w:pPr>
      <w:r w:rsidRPr="004B6A01">
        <w:rPr>
          <w:i/>
          <w:iCs/>
        </w:rPr>
        <w:t xml:space="preserve">SMV-regeringen, </w:t>
      </w:r>
      <w:proofErr w:type="gramStart"/>
      <w:r w:rsidRPr="004B6A01">
        <w:rPr>
          <w:i/>
          <w:iCs/>
        </w:rPr>
        <w:t>December</w:t>
      </w:r>
      <w:proofErr w:type="gramEnd"/>
      <w:r w:rsidRPr="004B6A01">
        <w:rPr>
          <w:i/>
          <w:iCs/>
        </w:rPr>
        <w:t xml:space="preserve"> 2022</w:t>
      </w:r>
    </w:p>
    <w:p w14:paraId="30AC01CA" w14:textId="29E81A23" w:rsidR="004B6A01" w:rsidRPr="004B6A01" w:rsidRDefault="004B6A01" w:rsidP="004B6A01">
      <w:r w:rsidRPr="004B6A01">
        <w:t>Regeringen vil føre en stram, ansvarlig og konsekvent udlændingepolitik, hvor der er styr på antallet af flygtninge og indvandrere, som kommer til Danmark. Det er afgørende, at Danmark har styr på tilstrømningen til vores land, så vi fortsat har kapacitet til at sikre ordentlig integration, så vi ikke svækker sammenhængskraften i Danmark.</w:t>
      </w:r>
    </w:p>
    <w:p w14:paraId="51CD679E" w14:textId="77777777" w:rsidR="004B6A01" w:rsidRPr="004B6A01" w:rsidRDefault="004B6A01" w:rsidP="004B6A01">
      <w:r w:rsidRPr="004B6A01">
        <w:t>Vi vil føre en udlændingepolitik, der er stram – men samtidig ikke betyder, at uhensigtsmæssige</w:t>
      </w:r>
    </w:p>
    <w:p w14:paraId="1AC46AB3" w14:textId="483F726D" w:rsidR="004B6A01" w:rsidRPr="004B6A01" w:rsidRDefault="004B6A01" w:rsidP="004B6A01">
      <w:r w:rsidRPr="004B6A01">
        <w:t>regler spænder ben for almindelige familier. Menneskerettigheder, internationale konventioner og traktater skal til enhver tid overholdes og respekteres.</w:t>
      </w:r>
    </w:p>
    <w:p w14:paraId="72EA4DC2" w14:textId="4515A4E7" w:rsidR="004B6A01" w:rsidRPr="004B6A01" w:rsidRDefault="004B6A01" w:rsidP="004B6A01">
      <w:r w:rsidRPr="004B6A01">
        <w:t>Vi skal som samfund stille krav til indvandrere og flygtninge, mens de er i Danmark. Flere skal bidrage til fællesskabet og være selvforsørgende. Det gavner fællesskabet såvel som den enkelte.</w:t>
      </w:r>
    </w:p>
    <w:p w14:paraId="5C250F69" w14:textId="6A63FB92" w:rsidR="004B6A01" w:rsidRPr="004B6A01" w:rsidRDefault="004B6A01" w:rsidP="004B6A01">
      <w:r w:rsidRPr="004B6A01">
        <w:t>Vi ønsker en aktiv og velfungerende indsats for at integrere indvandrere og flygtninge på arbejdsmarkedet. En indsats, som er baseret på ret og pligt. Vi skal møde alle mennesker med forventninger om at bidrage og deltage i samfundet. Alle skal respektere vores grundlæggende værdier om frihed, demokrati og ligestilling mellem kønnene. Der skal være lighed for loven. Det betyder, at den danske lov altid skal stå over religiøse love. Parallelsamfund skal bekæmpes – også før de opstår.</w:t>
      </w:r>
    </w:p>
    <w:p w14:paraId="1A628BC3" w14:textId="18B6FF16" w:rsidR="004B6A01" w:rsidRPr="004B6A01" w:rsidRDefault="004B6A01" w:rsidP="004B6A01">
      <w:r w:rsidRPr="004B6A01">
        <w:t xml:space="preserve">Vi ønsker et større og vedholdende fokus på, hvordan vi som samfund gør op med negativ social kontrol, så piger og kvinder med indvandrerbaggrund nyder samme rettigheder og frihed som danske kvinder og mænd. </w:t>
      </w:r>
    </w:p>
    <w:p w14:paraId="51987DF9" w14:textId="77777777" w:rsidR="004B6A01" w:rsidRPr="004B6A01" w:rsidRDefault="004B6A01" w:rsidP="004B6A01">
      <w:r w:rsidRPr="004B6A01">
        <w:t>Regeringens udlændingepolitik baserer sig på grundpillerne i udlændingelovgivningen, herunder reglerne for asyl, statsborgerskab, familiesammenføring og princippet om midlertidighed.</w:t>
      </w:r>
    </w:p>
    <w:p w14:paraId="7E30DBD0" w14:textId="77777777" w:rsidR="004B6A01" w:rsidRDefault="004B6A01" w:rsidP="004B6A01">
      <w:pPr>
        <w:rPr>
          <w:b/>
          <w:bCs/>
        </w:rPr>
      </w:pPr>
      <w:r w:rsidRPr="004B6A01">
        <w:t>Flygtningesituationen og tilstrømningen af irregulære migranter er alvorlig i Europa og i flere lande på niveau med situationen i 2015-16. Hvis tilstrømningen til Danmark stiger væsentligt eller pludseligt, vil regeringen inden for rammerne af Danmarks internationale forpligtelser tage de nødvendige værktøjer i brug for at modvirke, at vi kommer i en situation med så stor en tilstrømning, at bl.a. integrationen bliver sat tilbage og opgaven uhåndterbar i kommunerne.</w:t>
      </w:r>
    </w:p>
    <w:p w14:paraId="118C1B02" w14:textId="77777777" w:rsidR="004B6A01" w:rsidRDefault="004B6A01" w:rsidP="004B6A01">
      <w:pPr>
        <w:rPr>
          <w:b/>
          <w:bCs/>
        </w:rPr>
      </w:pPr>
    </w:p>
    <w:p w14:paraId="76FB9EAB" w14:textId="336DACD4" w:rsidR="004B6A01" w:rsidRPr="004B6A01" w:rsidRDefault="004B6A01" w:rsidP="004B6A01">
      <w:r w:rsidRPr="004B6A01">
        <w:rPr>
          <w:b/>
          <w:bCs/>
        </w:rPr>
        <w:t xml:space="preserve">Bilag A2: Uddrag fra Danmarksdemokraternes finanslovsudspil – Afsnit: En stram og konsekvent indvandrer- og retspolitik. </w:t>
      </w:r>
    </w:p>
    <w:p w14:paraId="2E02FDB5" w14:textId="77777777" w:rsidR="004B6A01" w:rsidRPr="004B6A01" w:rsidRDefault="004B6A01" w:rsidP="004B6A01">
      <w:pPr>
        <w:rPr>
          <w:i/>
          <w:iCs/>
        </w:rPr>
      </w:pPr>
      <w:r w:rsidRPr="004B6A01">
        <w:rPr>
          <w:i/>
          <w:iCs/>
        </w:rPr>
        <w:lastRenderedPageBreak/>
        <w:t>Danmarksdemokraterne, 2022</w:t>
      </w:r>
    </w:p>
    <w:p w14:paraId="384E2BE7" w14:textId="77777777" w:rsidR="004B6A01" w:rsidRPr="004B6A01" w:rsidRDefault="004B6A01" w:rsidP="004B6A01">
      <w:r w:rsidRPr="004B6A01">
        <w:t xml:space="preserve">Når man kommer til Danmark som udlænding, så skal man indrette sig efter de danske værdier, vores kultur og vores samfund. Generationer før os har lagt fundamentet af frihedsrettigheder for det samfund, vi lever i nu. Oven på det fundament kan man bygge sit eget liv, men man kan ikke bare slå hul på fundamentet. Det skal stå tindrende klart for enhver, der kommer til Danmark. </w:t>
      </w:r>
    </w:p>
    <w:p w14:paraId="084A957A" w14:textId="77777777" w:rsidR="004B6A01" w:rsidRPr="004B6A01" w:rsidRDefault="004B6A01" w:rsidP="004B6A01">
      <w:r w:rsidRPr="004B6A01">
        <w:t xml:space="preserve">Danmarksdemokraterne kæmper for en stram og konsekvent udlændingepolitik. Det betyder, at der skal være styr på, hvem der kommer hertil. Og at vi skal være konsekvente i forhold til hvem, der skal hjem igen. Desværre har vi en regering, der lemper udlændingepolitikken. </w:t>
      </w:r>
    </w:p>
    <w:p w14:paraId="4EE4F142" w14:textId="77777777" w:rsidR="004B6A01" w:rsidRPr="004B6A01" w:rsidRDefault="004B6A01" w:rsidP="004B6A01">
      <w:r w:rsidRPr="004B6A01">
        <w:t xml:space="preserve">Regeringen tager et opgør med hjemsendelsespolitikken, så flygtninge bliver til indvandrere frem for at blive sendt retur til deres hjemlande, når der er fred. Regeringen lemper på familiesammenføringsreglerne, så flere udlændinge kan komme til Danmark, selvom det på ingen måde kan garanteres, at de integrerer sig. Og regeringen har tilsyneladende heller ikke længere en ambition om at lave en aftale med Rwanda om et dansk modtagecenter. </w:t>
      </w:r>
    </w:p>
    <w:p w14:paraId="3A3B1BC9" w14:textId="46F4D4F9" w:rsidR="004B6A01" w:rsidRPr="004B6A01" w:rsidRDefault="004B6A01" w:rsidP="004B6A01">
      <w:r w:rsidRPr="004B6A01">
        <w:t>Men vi har ikke brug for lempelser i udlændingepolitikken. Tværtimod har vi brug for en stram udlændingepolitik, der bidrager til at passe på Danmark. Det skal være trygt at færdes i Danmark. Desværre er der i dag problemer med organiserede kriminelle og indvandrerbander, der skaber utryghed og begår grov kriminalitet. Det skal vi ikke acceptere. Derfor har vi brug for skærpede straffe, så vi får de kriminelle væk fra gaderne og bag tremmer. (…)</w:t>
      </w:r>
    </w:p>
    <w:p w14:paraId="5941E7FE" w14:textId="77777777" w:rsidR="004B6A01" w:rsidRPr="004B6A01" w:rsidRDefault="004B6A01" w:rsidP="004B6A01">
      <w:r w:rsidRPr="004B6A01">
        <w:t xml:space="preserve">DERFOR FORESLÅR VI FØLGENDE INITIATIVER: </w:t>
      </w:r>
    </w:p>
    <w:p w14:paraId="506DD902" w14:textId="77777777" w:rsidR="004B6A01" w:rsidRPr="004B6A01" w:rsidRDefault="004B6A01" w:rsidP="004B6A01">
      <w:pPr>
        <w:numPr>
          <w:ilvl w:val="0"/>
          <w:numId w:val="2"/>
        </w:numPr>
      </w:pPr>
      <w:r w:rsidRPr="004B6A01">
        <w:t xml:space="preserve">SÆNKE YDELSERNE FOR FLYGTNINGE OG INDVANDRERE </w:t>
      </w:r>
    </w:p>
    <w:p w14:paraId="212B047C" w14:textId="77777777" w:rsidR="004B6A01" w:rsidRPr="004B6A01" w:rsidRDefault="004B6A01" w:rsidP="004B6A01">
      <w:pPr>
        <w:numPr>
          <w:ilvl w:val="0"/>
          <w:numId w:val="2"/>
        </w:numPr>
      </w:pPr>
      <w:r w:rsidRPr="004B6A01">
        <w:t xml:space="preserve">OPRET ET TREDJE UDREJSECENTER FOR UDVISTE KRIMINELLE UDLÆNDINGE </w:t>
      </w:r>
    </w:p>
    <w:p w14:paraId="0A57CBF6" w14:textId="77777777" w:rsidR="004B6A01" w:rsidRPr="004B6A01" w:rsidRDefault="004B6A01" w:rsidP="004B6A01">
      <w:pPr>
        <w:numPr>
          <w:ilvl w:val="0"/>
          <w:numId w:val="2"/>
        </w:numPr>
      </w:pPr>
      <w:r w:rsidRPr="004B6A01">
        <w:t xml:space="preserve">FLERE EFTERFORSKNINGSMIDLER TIL POLITIET </w:t>
      </w:r>
    </w:p>
    <w:p w14:paraId="653857B5" w14:textId="77777777" w:rsidR="004B6A01" w:rsidRPr="004B6A01" w:rsidRDefault="004B6A01" w:rsidP="004B6A01">
      <w:pPr>
        <w:numPr>
          <w:ilvl w:val="0"/>
          <w:numId w:val="2"/>
        </w:numPr>
      </w:pPr>
      <w:r w:rsidRPr="004B6A01">
        <w:t xml:space="preserve">HÅRDERE KURS OVERFOR BANDER </w:t>
      </w:r>
    </w:p>
    <w:p w14:paraId="3D89B590" w14:textId="77777777" w:rsidR="004B6A01" w:rsidRPr="004B6A01" w:rsidRDefault="004B6A01" w:rsidP="004B6A01">
      <w:pPr>
        <w:numPr>
          <w:ilvl w:val="0"/>
          <w:numId w:val="2"/>
        </w:numPr>
      </w:pPr>
      <w:r w:rsidRPr="004B6A01">
        <w:t xml:space="preserve">AKUTPAKKE TIL KRIMINALFORSORGEN </w:t>
      </w:r>
    </w:p>
    <w:p w14:paraId="670723FC" w14:textId="77777777" w:rsidR="004B6A01" w:rsidRPr="004B6A01" w:rsidRDefault="004B6A01" w:rsidP="004B6A01">
      <w:pPr>
        <w:numPr>
          <w:ilvl w:val="0"/>
          <w:numId w:val="2"/>
        </w:numPr>
      </w:pPr>
      <w:r w:rsidRPr="004B6A01">
        <w:t>UDVIDET ÅBNINGSTID FOR NÆRPOLITISTATIONER</w:t>
      </w:r>
    </w:p>
    <w:p w14:paraId="4A65BBC9" w14:textId="399B259B" w:rsidR="004B6A01" w:rsidRPr="004B6A01" w:rsidRDefault="004B6A01" w:rsidP="004B6A01">
      <w:pPr>
        <w:rPr>
          <w:b/>
          <w:bCs/>
        </w:rPr>
      </w:pPr>
      <w:r w:rsidRPr="004B6A01">
        <w:rPr>
          <w:b/>
          <w:bCs/>
        </w:rPr>
        <w:br w:type="page"/>
      </w:r>
      <w:r w:rsidRPr="004B6A01">
        <w:rPr>
          <w:b/>
          <w:bCs/>
        </w:rPr>
        <w:lastRenderedPageBreak/>
        <w:t xml:space="preserve">Bilag A3: Enhedslistens udlændinge- og integrationspolitik. </w:t>
      </w:r>
    </w:p>
    <w:p w14:paraId="3BE1F126" w14:textId="77777777" w:rsidR="004B6A01" w:rsidRPr="004B6A01" w:rsidRDefault="004B6A01" w:rsidP="004B6A01">
      <w:pPr>
        <w:rPr>
          <w:i/>
          <w:iCs/>
        </w:rPr>
      </w:pPr>
      <w:r w:rsidRPr="004B6A01">
        <w:rPr>
          <w:i/>
          <w:iCs/>
        </w:rPr>
        <w:t>Enhedslisten, 2022</w:t>
      </w:r>
    </w:p>
    <w:p w14:paraId="65ED248E" w14:textId="77777777" w:rsidR="004B6A01" w:rsidRPr="004B6A01" w:rsidRDefault="004B6A01" w:rsidP="004B6A01">
      <w:pPr>
        <w:rPr>
          <w:b/>
          <w:bCs/>
        </w:rPr>
      </w:pPr>
      <w:r w:rsidRPr="004B6A01">
        <w:rPr>
          <w:b/>
          <w:bCs/>
        </w:rPr>
        <w:t>Vi skal beskytte mennesker på flugt</w:t>
      </w:r>
    </w:p>
    <w:p w14:paraId="55A04F0D" w14:textId="77777777" w:rsidR="004B6A01" w:rsidRPr="004B6A01" w:rsidRDefault="004B6A01" w:rsidP="004B6A01">
      <w:r w:rsidRPr="004B6A01">
        <w:t>Krig, ekstrem global ulighed og miljøkatastrofer har sendt millioner på flugt. Aldrig har der været så mange på flugt og aldrig har Danmark taget imod så få flygtninge som vi gør i disse år. Ingen af dem flygter for sjov. Selvfølgelig kan Danmark ikke tage imod alle, men lige nu løfter landene i Sydeuropa en urimelig stor del af opgaven. Derfor ønsker vi en mere solidarisk fordeling af flygtninge. Og vi kræver, at de flygtninge, der kommer hertil, mødes med respekt og retssikkerhed og vi vil ikke acceptere forsøg på at eksportere flygtninge til modtagecentre i tredjelande såsom Rwanda Som krigsførende nation har Danmark både plads, råd og pligt til at tage vores del af ansvaret for verdens flygtninge.</w:t>
      </w:r>
    </w:p>
    <w:p w14:paraId="02057C0B" w14:textId="77777777" w:rsidR="004B6A01" w:rsidRPr="004B6A01" w:rsidRDefault="004B6A01" w:rsidP="004B6A01">
      <w:r w:rsidRPr="004B6A01">
        <w:rPr>
          <w:b/>
          <w:bCs/>
        </w:rPr>
        <w:t xml:space="preserve">Stop </w:t>
      </w:r>
      <w:proofErr w:type="spellStart"/>
      <w:r w:rsidRPr="004B6A01">
        <w:rPr>
          <w:b/>
          <w:bCs/>
        </w:rPr>
        <w:t>tilbagesendelser</w:t>
      </w:r>
      <w:proofErr w:type="spellEnd"/>
      <w:r w:rsidRPr="004B6A01">
        <w:rPr>
          <w:b/>
          <w:bCs/>
        </w:rPr>
        <w:t xml:space="preserve"> til krig</w:t>
      </w:r>
    </w:p>
    <w:p w14:paraId="27746F11" w14:textId="77777777" w:rsidR="004B6A01" w:rsidRPr="004B6A01" w:rsidRDefault="004B6A01" w:rsidP="004B6A01">
      <w:r w:rsidRPr="004B6A01">
        <w:t xml:space="preserve">Da udlændingelovens §7.3 blev indført i 2015 advarede Enhedslisten om at konsekvensen ville blive præcis den vi ser i dag – nemlig af flygtninge fra </w:t>
      </w:r>
      <w:proofErr w:type="gramStart"/>
      <w:r w:rsidRPr="004B6A01">
        <w:t>eksempelvis</w:t>
      </w:r>
      <w:proofErr w:type="gramEnd"/>
      <w:r w:rsidRPr="004B6A01">
        <w:t xml:space="preserve"> Syrien får frataget deres opholdstilladelser fordi der er sket en lille bitte forbedring af forholdene i Syrien, selvom de stadig er alvorlige, skrøbelige og uforudsigelige. Det samme gør sig gældende for afghanere som </w:t>
      </w:r>
      <w:proofErr w:type="gramStart"/>
      <w:r w:rsidRPr="004B6A01">
        <w:t>risikere</w:t>
      </w:r>
      <w:proofErr w:type="gramEnd"/>
      <w:r w:rsidRPr="004B6A01">
        <w:t xml:space="preserve"> at blive sendt tilbage til Talibans regime. Der er mennesker der nu flygter fra Danmark til andre europæiske lande hvor de får asyl, fordi man ikke mener at man kan sende dem tilbage til Danmark, da det er for farligt – det kan simpelthen ikke være rigtigt. Enhedslisten kæmper for at få § 7.3 ophævet, så det ikke skal være usikkert at søge beskyttelse i Danmark.</w:t>
      </w:r>
    </w:p>
    <w:p w14:paraId="38D59414" w14:textId="77777777" w:rsidR="004B6A01" w:rsidRPr="004B6A01" w:rsidRDefault="004B6A01" w:rsidP="004B6A01">
      <w:r w:rsidRPr="004B6A01">
        <w:rPr>
          <w:b/>
          <w:bCs/>
        </w:rPr>
        <w:t>Permanent ophold og Statsborgerskab er en forudsætning for vellykket integration</w:t>
      </w:r>
    </w:p>
    <w:p w14:paraId="749E96E2" w14:textId="77777777" w:rsidR="004B6A01" w:rsidRPr="004B6A01" w:rsidRDefault="004B6A01" w:rsidP="004B6A01">
      <w:r w:rsidRPr="004B6A01">
        <w:t>Et flertal i folketinget har de sidste årtier strammet reglerne for permanent ophold og for at opnå indfødsret til et niveau der i dag gør at unge født og opvokset i Danmark skal fravælge at tage en uddannelse for at kunne leve op til de strenge krav til permanent ophold. Enhedslisten mener at det skal være lettere at få permanent ophold og at uddannelse skal tælle med i det beskæftigelseskrav der stilles. Tildelingen af statsborgerskab skal, især for børn og unge, der har haft størstedelen af deres liv i Danmark, gøres væsentligt lettere.</w:t>
      </w:r>
    </w:p>
    <w:p w14:paraId="030F5138" w14:textId="77777777" w:rsidR="004B6A01" w:rsidRPr="004B6A01" w:rsidRDefault="004B6A01" w:rsidP="004B6A01">
      <w:r w:rsidRPr="004B6A01">
        <w:rPr>
          <w:b/>
          <w:bCs/>
        </w:rPr>
        <w:t>Fattigdom fremmer ikke integration</w:t>
      </w:r>
    </w:p>
    <w:p w14:paraId="7DAB8138" w14:textId="77777777" w:rsidR="004B6A01" w:rsidRPr="004B6A01" w:rsidRDefault="004B6A01" w:rsidP="004B6A01">
      <w:r w:rsidRPr="004B6A01">
        <w:t>Enhedslisten tager afstand fra retorikken om, at man kun kan være dansk, hvis man spiser svinekød og har mindst tre danske generationer bag sig. Dansk er man, hvis man føler sig som en del af det danske samfund. På det punkt skader den særligt lave integrationsydelse integrationen. For fattigdom afskærer folk fra at deltage i foreningslivet, i børnefødselsdage, i kulturen – altså netop fra at blive en del af samfundet.</w:t>
      </w:r>
    </w:p>
    <w:p w14:paraId="65854BAE" w14:textId="77777777" w:rsidR="00BC3EEF" w:rsidRDefault="00BC3EEF"/>
    <w:sectPr w:rsidR="00BC3E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043"/>
    <w:multiLevelType w:val="hybridMultilevel"/>
    <w:tmpl w:val="B88AFC0E"/>
    <w:lvl w:ilvl="0" w:tplc="7280329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8294094"/>
    <w:multiLevelType w:val="hybridMultilevel"/>
    <w:tmpl w:val="33640B2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03608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4244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01"/>
    <w:rsid w:val="004B6A01"/>
    <w:rsid w:val="006B1C78"/>
    <w:rsid w:val="00A00124"/>
    <w:rsid w:val="00BC3E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A12E"/>
  <w15:chartTrackingRefBased/>
  <w15:docId w15:val="{D6762660-CADE-44AA-911E-6ECECC9A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6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B6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B6A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B6A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B6A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B6A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6A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6A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6A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6A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B6A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B6A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B6A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B6A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B6A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6A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6A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6A01"/>
    <w:rPr>
      <w:rFonts w:eastAsiaTheme="majorEastAsia" w:cstheme="majorBidi"/>
      <w:color w:val="272727" w:themeColor="text1" w:themeTint="D8"/>
    </w:rPr>
  </w:style>
  <w:style w:type="paragraph" w:styleId="Titel">
    <w:name w:val="Title"/>
    <w:basedOn w:val="Normal"/>
    <w:next w:val="Normal"/>
    <w:link w:val="TitelTegn"/>
    <w:uiPriority w:val="10"/>
    <w:qFormat/>
    <w:rsid w:val="004B6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6A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6A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6A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6A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B6A01"/>
    <w:rPr>
      <w:i/>
      <w:iCs/>
      <w:color w:val="404040" w:themeColor="text1" w:themeTint="BF"/>
    </w:rPr>
  </w:style>
  <w:style w:type="paragraph" w:styleId="Listeafsnit">
    <w:name w:val="List Paragraph"/>
    <w:basedOn w:val="Normal"/>
    <w:uiPriority w:val="34"/>
    <w:qFormat/>
    <w:rsid w:val="004B6A01"/>
    <w:pPr>
      <w:ind w:left="720"/>
      <w:contextualSpacing/>
    </w:pPr>
  </w:style>
  <w:style w:type="character" w:styleId="Kraftigfremhvning">
    <w:name w:val="Intense Emphasis"/>
    <w:basedOn w:val="Standardskrifttypeiafsnit"/>
    <w:uiPriority w:val="21"/>
    <w:qFormat/>
    <w:rsid w:val="004B6A01"/>
    <w:rPr>
      <w:i/>
      <w:iCs/>
      <w:color w:val="0F4761" w:themeColor="accent1" w:themeShade="BF"/>
    </w:rPr>
  </w:style>
  <w:style w:type="paragraph" w:styleId="Strktcitat">
    <w:name w:val="Intense Quote"/>
    <w:basedOn w:val="Normal"/>
    <w:next w:val="Normal"/>
    <w:link w:val="StrktcitatTegn"/>
    <w:uiPriority w:val="30"/>
    <w:qFormat/>
    <w:rsid w:val="004B6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B6A01"/>
    <w:rPr>
      <w:i/>
      <w:iCs/>
      <w:color w:val="0F4761" w:themeColor="accent1" w:themeShade="BF"/>
    </w:rPr>
  </w:style>
  <w:style w:type="character" w:styleId="Kraftighenvisning">
    <w:name w:val="Intense Reference"/>
    <w:basedOn w:val="Standardskrifttypeiafsnit"/>
    <w:uiPriority w:val="32"/>
    <w:qFormat/>
    <w:rsid w:val="004B6A01"/>
    <w:rPr>
      <w:b/>
      <w:bCs/>
      <w:smallCaps/>
      <w:color w:val="0F4761" w:themeColor="accent1" w:themeShade="BF"/>
      <w:spacing w:val="5"/>
    </w:rPr>
  </w:style>
  <w:style w:type="table" w:styleId="Tabel-Gitter">
    <w:name w:val="Table Grid"/>
    <w:basedOn w:val="Tabel-Normal"/>
    <w:uiPriority w:val="39"/>
    <w:rsid w:val="004B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1142</Words>
  <Characters>6972</Characters>
  <Application>Microsoft Office Word</Application>
  <DocSecurity>0</DocSecurity>
  <Lines>58</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2026-04-22T19:07:00Z</dcterms:created>
  <dcterms:modified xsi:type="dcterms:W3CDTF">2026-04-22T19:15:00Z</dcterms:modified>
</cp:coreProperties>
</file>