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F27E" w14:textId="77777777" w:rsidR="000334B3" w:rsidRDefault="000334B3"/>
    <w:p w14:paraId="7B584023" w14:textId="77777777" w:rsidR="00B151BE" w:rsidRPr="00B151BE" w:rsidRDefault="00B151BE" w:rsidP="00B151BE">
      <w:pPr>
        <w:rPr>
          <w:b/>
          <w:bCs/>
          <w:sz w:val="28"/>
          <w:szCs w:val="28"/>
        </w:rPr>
      </w:pPr>
      <w:r w:rsidRPr="00B151BE">
        <w:rPr>
          <w:b/>
          <w:bCs/>
          <w:sz w:val="28"/>
          <w:szCs w:val="28"/>
        </w:rPr>
        <w:t>Konversion</w:t>
      </w:r>
    </w:p>
    <w:p w14:paraId="03A176D4" w14:textId="77777777" w:rsidR="00B151BE" w:rsidRPr="00B151BE" w:rsidRDefault="00B151BE" w:rsidP="00B151BE">
      <w:r w:rsidRPr="00B151BE">
        <w:t>Konversion defineres som det forløb eller den proces, der foregår, når en person omvender sig til en religion og derved antager en ny identitet. Der kan både være tale om personer, der går fra at være ikke-praktiserende til praktiserende inden for deres religion, og om personer der går fra en religion til en anden. Konversion indebærer derved, at der sker en forandring med personen. Ofte vil en person, der er konverteret til en religion være mere engageret i den pågældende religion, end folk der er født ind i den.</w:t>
      </w:r>
    </w:p>
    <w:p w14:paraId="64585D15" w14:textId="77777777" w:rsidR="00B151BE" w:rsidRPr="00B151BE" w:rsidRDefault="00B151BE" w:rsidP="00B151BE">
      <w:r w:rsidRPr="00B151BE">
        <w:rPr>
          <w:b/>
          <w:bCs/>
        </w:rPr>
        <w:t>Lewis Rambo</w:t>
      </w:r>
      <w:r w:rsidRPr="00B151BE">
        <w:t> (1993) har opstillet syv stadier, der karakteriserer den proces, som mange gennemgår, når de konverterer.</w:t>
      </w:r>
    </w:p>
    <w:p w14:paraId="6C87791A" w14:textId="77777777" w:rsidR="00B151BE" w:rsidRPr="00B151BE" w:rsidRDefault="00B151BE" w:rsidP="00B151BE"/>
    <w:tbl>
      <w:tblPr>
        <w:tblW w:w="0" w:type="auto"/>
        <w:tblCellMar>
          <w:left w:w="0" w:type="dxa"/>
          <w:right w:w="0" w:type="dxa"/>
        </w:tblCellMar>
        <w:tblLook w:val="04A0" w:firstRow="1" w:lastRow="0" w:firstColumn="1" w:lastColumn="0" w:noHBand="0" w:noVBand="1"/>
      </w:tblPr>
      <w:tblGrid>
        <w:gridCol w:w="1696"/>
        <w:gridCol w:w="7932"/>
      </w:tblGrid>
      <w:tr w:rsidR="00B151BE" w:rsidRPr="00B151BE" w14:paraId="37505E3F"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243DD448" w14:textId="77777777" w:rsidR="00B151BE" w:rsidRPr="00B151BE" w:rsidRDefault="00B151BE" w:rsidP="00B151BE">
            <w:pPr>
              <w:rPr>
                <w:b/>
                <w:bCs/>
              </w:rPr>
            </w:pPr>
            <w:r w:rsidRPr="00B151BE">
              <w:rPr>
                <w:b/>
                <w:bCs/>
              </w:rPr>
              <w:t>Kontekst</w:t>
            </w:r>
          </w:p>
        </w:tc>
        <w:tc>
          <w:tcPr>
            <w:tcW w:w="7932" w:type="dxa"/>
            <w:tcBorders>
              <w:top w:val="single" w:sz="4" w:space="0" w:color="DDDDDD"/>
              <w:left w:val="single" w:sz="4" w:space="0" w:color="DDDDDD"/>
              <w:bottom w:val="single" w:sz="4" w:space="0" w:color="DDDDDD"/>
              <w:right w:val="single" w:sz="4" w:space="0" w:color="DDDDDD"/>
            </w:tcBorders>
            <w:hideMark/>
          </w:tcPr>
          <w:p w14:paraId="73058F1E" w14:textId="77777777" w:rsidR="00B151BE" w:rsidRPr="00B151BE" w:rsidRDefault="00B151BE" w:rsidP="00B151BE">
            <w:r w:rsidRPr="00B151BE">
              <w:t>Personer, der konverterer, er ofte i en livssituation, hvor de er særligt modtagelige for input.</w:t>
            </w:r>
          </w:p>
        </w:tc>
      </w:tr>
      <w:tr w:rsidR="00B151BE" w:rsidRPr="00B151BE" w14:paraId="79DF9427"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213C638A" w14:textId="77777777" w:rsidR="00B151BE" w:rsidRPr="00B151BE" w:rsidRDefault="00B151BE" w:rsidP="00B151BE">
            <w:pPr>
              <w:rPr>
                <w:b/>
                <w:bCs/>
              </w:rPr>
            </w:pPr>
            <w:r w:rsidRPr="00B151BE">
              <w:rPr>
                <w:b/>
                <w:bCs/>
              </w:rPr>
              <w:t>Krise</w:t>
            </w:r>
          </w:p>
        </w:tc>
        <w:tc>
          <w:tcPr>
            <w:tcW w:w="7932" w:type="dxa"/>
            <w:tcBorders>
              <w:top w:val="single" w:sz="4" w:space="0" w:color="DDDDDD"/>
              <w:left w:val="single" w:sz="4" w:space="0" w:color="DDDDDD"/>
              <w:bottom w:val="single" w:sz="4" w:space="0" w:color="DDDDDD"/>
              <w:right w:val="single" w:sz="4" w:space="0" w:color="DDDDDD"/>
            </w:tcBorders>
            <w:hideMark/>
          </w:tcPr>
          <w:p w14:paraId="24C37801" w14:textId="77777777" w:rsidR="00B151BE" w:rsidRPr="00B151BE" w:rsidRDefault="00B151BE" w:rsidP="00B151BE">
            <w:r w:rsidRPr="00B151BE">
              <w:t>Det kan være unge, der lige er flyttet til en storby for at studere eller andre, som har svært ved at finde fodfæste i livet. Konversion foretages oftest af unge mennesker.</w:t>
            </w:r>
          </w:p>
        </w:tc>
      </w:tr>
      <w:tr w:rsidR="00B151BE" w:rsidRPr="00B151BE" w14:paraId="1736E9AB"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11439B8D" w14:textId="77777777" w:rsidR="00B151BE" w:rsidRPr="00B151BE" w:rsidRDefault="00B151BE" w:rsidP="00B151BE">
            <w:pPr>
              <w:rPr>
                <w:b/>
                <w:bCs/>
              </w:rPr>
            </w:pPr>
            <w:r w:rsidRPr="00B151BE">
              <w:rPr>
                <w:b/>
                <w:bCs/>
              </w:rPr>
              <w:t>Søgen</w:t>
            </w:r>
          </w:p>
        </w:tc>
        <w:tc>
          <w:tcPr>
            <w:tcW w:w="7932" w:type="dxa"/>
            <w:tcBorders>
              <w:top w:val="single" w:sz="4" w:space="0" w:color="DDDDDD"/>
              <w:left w:val="single" w:sz="4" w:space="0" w:color="DDDDDD"/>
              <w:bottom w:val="single" w:sz="4" w:space="0" w:color="DDDDDD"/>
              <w:right w:val="single" w:sz="4" w:space="0" w:color="DDDDDD"/>
            </w:tcBorders>
            <w:hideMark/>
          </w:tcPr>
          <w:p w14:paraId="69B31B9B" w14:textId="77777777" w:rsidR="00B151BE" w:rsidRPr="00B151BE" w:rsidRDefault="00B151BE" w:rsidP="00B151BE">
            <w:r w:rsidRPr="00B151BE">
              <w:t>I deres søgen efter mening kan religiøse grupper være dem, der kan hjælpe personen ud af krisen.</w:t>
            </w:r>
          </w:p>
        </w:tc>
      </w:tr>
      <w:tr w:rsidR="00B151BE" w:rsidRPr="00B151BE" w14:paraId="4AF69CFC"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30AF0F3A" w14:textId="77777777" w:rsidR="00B151BE" w:rsidRPr="00B151BE" w:rsidRDefault="00B151BE" w:rsidP="00B151BE">
            <w:pPr>
              <w:rPr>
                <w:b/>
                <w:bCs/>
              </w:rPr>
            </w:pPr>
            <w:r w:rsidRPr="00B151BE">
              <w:rPr>
                <w:b/>
                <w:bCs/>
              </w:rPr>
              <w:t>Møde</w:t>
            </w:r>
          </w:p>
        </w:tc>
        <w:tc>
          <w:tcPr>
            <w:tcW w:w="7932" w:type="dxa"/>
            <w:tcBorders>
              <w:top w:val="single" w:sz="4" w:space="0" w:color="DDDDDD"/>
              <w:left w:val="single" w:sz="4" w:space="0" w:color="DDDDDD"/>
              <w:bottom w:val="single" w:sz="4" w:space="0" w:color="DDDDDD"/>
              <w:right w:val="single" w:sz="4" w:space="0" w:color="DDDDDD"/>
            </w:tcBorders>
            <w:hideMark/>
          </w:tcPr>
          <w:p w14:paraId="46E7F033" w14:textId="77777777" w:rsidR="00B151BE" w:rsidRPr="00B151BE" w:rsidRDefault="00B151BE" w:rsidP="00B151BE">
            <w:r w:rsidRPr="00B151BE">
              <w:t>Mødet med den religiøse gruppe kan foregå på mange måder. Strøget i København og internettet er nogle af de hyppigste steder.</w:t>
            </w:r>
          </w:p>
        </w:tc>
      </w:tr>
      <w:tr w:rsidR="00B151BE" w:rsidRPr="00B151BE" w14:paraId="27896479"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71F13BD2" w14:textId="77777777" w:rsidR="00B151BE" w:rsidRPr="00B151BE" w:rsidRDefault="00B151BE" w:rsidP="00B151BE">
            <w:pPr>
              <w:rPr>
                <w:b/>
                <w:bCs/>
              </w:rPr>
            </w:pPr>
            <w:r w:rsidRPr="00B151BE">
              <w:rPr>
                <w:b/>
                <w:bCs/>
              </w:rPr>
              <w:t>Interaktion</w:t>
            </w:r>
          </w:p>
        </w:tc>
        <w:tc>
          <w:tcPr>
            <w:tcW w:w="7932" w:type="dxa"/>
            <w:tcBorders>
              <w:top w:val="single" w:sz="4" w:space="0" w:color="DDDDDD"/>
              <w:left w:val="single" w:sz="4" w:space="0" w:color="DDDDDD"/>
              <w:bottom w:val="single" w:sz="4" w:space="0" w:color="DDDDDD"/>
              <w:right w:val="single" w:sz="4" w:space="0" w:color="DDDDDD"/>
            </w:tcBorders>
            <w:hideMark/>
          </w:tcPr>
          <w:p w14:paraId="4E90E40B" w14:textId="77777777" w:rsidR="00B151BE" w:rsidRPr="00B151BE" w:rsidRDefault="00B151BE" w:rsidP="00B151BE">
            <w:r w:rsidRPr="00B151BE">
              <w:t>Herefter mødes de to parter for at finde ud af, om konvertitten finder det, han/hun søger.</w:t>
            </w:r>
          </w:p>
        </w:tc>
      </w:tr>
      <w:tr w:rsidR="00B151BE" w:rsidRPr="00B151BE" w14:paraId="62EA9BCB"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5CE02DB4" w14:textId="77777777" w:rsidR="00B151BE" w:rsidRPr="00B151BE" w:rsidRDefault="00B151BE" w:rsidP="00B151BE">
            <w:pPr>
              <w:rPr>
                <w:b/>
                <w:bCs/>
              </w:rPr>
            </w:pPr>
            <w:r w:rsidRPr="00B151BE">
              <w:rPr>
                <w:b/>
                <w:bCs/>
              </w:rPr>
              <w:t>Forpligtelse</w:t>
            </w:r>
          </w:p>
        </w:tc>
        <w:tc>
          <w:tcPr>
            <w:tcW w:w="7932" w:type="dxa"/>
            <w:tcBorders>
              <w:top w:val="single" w:sz="4" w:space="0" w:color="DDDDDD"/>
              <w:left w:val="single" w:sz="4" w:space="0" w:color="DDDDDD"/>
              <w:bottom w:val="single" w:sz="4" w:space="0" w:color="DDDDDD"/>
              <w:right w:val="single" w:sz="4" w:space="0" w:color="DDDDDD"/>
            </w:tcBorders>
            <w:hideMark/>
          </w:tcPr>
          <w:p w14:paraId="1F4631A0" w14:textId="77777777" w:rsidR="00B151BE" w:rsidRPr="00B151BE" w:rsidRDefault="00B151BE" w:rsidP="00B151BE">
            <w:r w:rsidRPr="00B151BE">
              <w:t>Herefter kan personen antage en mere forpligtende rolle i forhold til at være trofast over for gruppens værdier.</w:t>
            </w:r>
          </w:p>
        </w:tc>
      </w:tr>
      <w:tr w:rsidR="00B151BE" w:rsidRPr="00B151BE" w14:paraId="6E86BA6E" w14:textId="77777777" w:rsidTr="00B151BE">
        <w:tc>
          <w:tcPr>
            <w:tcW w:w="1696" w:type="dxa"/>
            <w:tcBorders>
              <w:top w:val="single" w:sz="4" w:space="0" w:color="DDDDDD"/>
              <w:left w:val="single" w:sz="4" w:space="0" w:color="DDDDDD"/>
              <w:bottom w:val="single" w:sz="4" w:space="0" w:color="DDDDDD"/>
              <w:right w:val="single" w:sz="4" w:space="0" w:color="DDDDDD"/>
            </w:tcBorders>
            <w:shd w:val="clear" w:color="auto" w:fill="F8F8F8"/>
            <w:hideMark/>
          </w:tcPr>
          <w:p w14:paraId="5D679E53" w14:textId="77777777" w:rsidR="00B151BE" w:rsidRPr="00B151BE" w:rsidRDefault="00B151BE" w:rsidP="00B151BE">
            <w:pPr>
              <w:rPr>
                <w:b/>
                <w:bCs/>
              </w:rPr>
            </w:pPr>
            <w:r w:rsidRPr="00B151BE">
              <w:rPr>
                <w:b/>
                <w:bCs/>
              </w:rPr>
              <w:t>Konsekvenser</w:t>
            </w:r>
          </w:p>
        </w:tc>
        <w:tc>
          <w:tcPr>
            <w:tcW w:w="7932" w:type="dxa"/>
            <w:tcBorders>
              <w:top w:val="single" w:sz="4" w:space="0" w:color="DDDDDD"/>
              <w:left w:val="single" w:sz="4" w:space="0" w:color="DDDDDD"/>
              <w:bottom w:val="single" w:sz="4" w:space="0" w:color="DDDDDD"/>
              <w:right w:val="single" w:sz="4" w:space="0" w:color="DDDDDD"/>
            </w:tcBorders>
            <w:hideMark/>
          </w:tcPr>
          <w:p w14:paraId="6B31BF59" w14:textId="77777777" w:rsidR="00B151BE" w:rsidRPr="00B151BE" w:rsidRDefault="00B151BE" w:rsidP="00B151BE">
            <w:r w:rsidRPr="00B151BE">
              <w:t>Som slutstadie vil den omvendte tage konsekvenserne af at være omvendt i forhold til spiseregler, påklædning, opførsel, venner, økonomiske forhold osv.</w:t>
            </w:r>
          </w:p>
        </w:tc>
      </w:tr>
    </w:tbl>
    <w:p w14:paraId="41AB0CF7" w14:textId="77777777" w:rsidR="00B151BE" w:rsidRPr="00B151BE" w:rsidRDefault="00B151BE" w:rsidP="00B151BE">
      <w:pPr>
        <w:rPr>
          <w:b/>
          <w:bCs/>
        </w:rPr>
      </w:pPr>
      <w:r w:rsidRPr="00B151BE">
        <w:rPr>
          <w:b/>
          <w:bCs/>
        </w:rPr>
        <w:t>Tabel 12.1</w:t>
      </w:r>
    </w:p>
    <w:p w14:paraId="76C26AE0" w14:textId="77777777" w:rsidR="00B151BE" w:rsidRDefault="00B151BE"/>
    <w:sectPr w:rsidR="00B151B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BE"/>
    <w:rsid w:val="000334B3"/>
    <w:rsid w:val="004D4FBB"/>
    <w:rsid w:val="0057539E"/>
    <w:rsid w:val="00B151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887B"/>
  <w15:chartTrackingRefBased/>
  <w15:docId w15:val="{8360C544-C9F3-4A5F-89B0-ECB0A261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51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51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51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151B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51B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51B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51B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51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151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151B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151B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151B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151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151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151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151BE"/>
    <w:rPr>
      <w:rFonts w:eastAsiaTheme="majorEastAsia" w:cstheme="majorBidi"/>
      <w:color w:val="272727" w:themeColor="text1" w:themeTint="D8"/>
    </w:rPr>
  </w:style>
  <w:style w:type="paragraph" w:styleId="Titel">
    <w:name w:val="Title"/>
    <w:basedOn w:val="Normal"/>
    <w:next w:val="Normal"/>
    <w:link w:val="TitelTegn"/>
    <w:uiPriority w:val="10"/>
    <w:qFormat/>
    <w:rsid w:val="00B1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151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151B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151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151B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151BE"/>
    <w:rPr>
      <w:i/>
      <w:iCs/>
      <w:color w:val="404040" w:themeColor="text1" w:themeTint="BF"/>
    </w:rPr>
  </w:style>
  <w:style w:type="paragraph" w:styleId="Listeafsnit">
    <w:name w:val="List Paragraph"/>
    <w:basedOn w:val="Normal"/>
    <w:uiPriority w:val="34"/>
    <w:qFormat/>
    <w:rsid w:val="00B151BE"/>
    <w:pPr>
      <w:ind w:left="720"/>
      <w:contextualSpacing/>
    </w:pPr>
  </w:style>
  <w:style w:type="character" w:styleId="Kraftigfremhvning">
    <w:name w:val="Intense Emphasis"/>
    <w:basedOn w:val="Standardskrifttypeiafsnit"/>
    <w:uiPriority w:val="21"/>
    <w:qFormat/>
    <w:rsid w:val="00B151BE"/>
    <w:rPr>
      <w:i/>
      <w:iCs/>
      <w:color w:val="0F4761" w:themeColor="accent1" w:themeShade="BF"/>
    </w:rPr>
  </w:style>
  <w:style w:type="paragraph" w:styleId="Strktcitat">
    <w:name w:val="Intense Quote"/>
    <w:basedOn w:val="Normal"/>
    <w:next w:val="Normal"/>
    <w:link w:val="StrktcitatTegn"/>
    <w:uiPriority w:val="30"/>
    <w:qFormat/>
    <w:rsid w:val="00B1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151BE"/>
    <w:rPr>
      <w:i/>
      <w:iCs/>
      <w:color w:val="0F4761" w:themeColor="accent1" w:themeShade="BF"/>
    </w:rPr>
  </w:style>
  <w:style w:type="character" w:styleId="Kraftighenvisning">
    <w:name w:val="Intense Reference"/>
    <w:basedOn w:val="Standardskrifttypeiafsnit"/>
    <w:uiPriority w:val="32"/>
    <w:qFormat/>
    <w:rsid w:val="00B15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1361</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cp:revision>
  <dcterms:created xsi:type="dcterms:W3CDTF">2026-04-25T18:15:00Z</dcterms:created>
  <dcterms:modified xsi:type="dcterms:W3CDTF">2026-04-25T18:18:00Z</dcterms:modified>
</cp:coreProperties>
</file>