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D84D" w14:textId="16F93866" w:rsidR="00EA4AA4" w:rsidRPr="00EA4AA4" w:rsidRDefault="00EA4AA4" w:rsidP="00EA4AA4">
      <w:pPr>
        <w:pStyle w:val="NormalWeb"/>
        <w:rPr>
          <w:rFonts w:ascii="var(--font-content)" w:hAnsi="var(--font-content)" w:cs="Noto Sans"/>
          <w:b/>
          <w:bCs/>
          <w:color w:val="333333"/>
          <w:sz w:val="26"/>
          <w:szCs w:val="26"/>
        </w:rPr>
      </w:pPr>
      <w:r>
        <w:rPr>
          <w:rFonts w:ascii="var(--font-content)" w:hAnsi="var(--font-content)" w:cs="Noto Sans"/>
          <w:b/>
          <w:bCs/>
          <w:color w:val="333333"/>
          <w:sz w:val="26"/>
          <w:szCs w:val="26"/>
        </w:rPr>
        <w:t>O</w:t>
      </w:r>
      <w:r w:rsidRPr="00EA4AA4">
        <w:rPr>
          <w:rFonts w:ascii="var(--font-content)" w:hAnsi="var(--font-content)" w:cs="Noto Sans"/>
          <w:b/>
          <w:bCs/>
          <w:color w:val="333333"/>
          <w:sz w:val="26"/>
          <w:szCs w:val="26"/>
        </w:rPr>
        <w:t>versigt over den indre komposition i episke tekster</w:t>
      </w:r>
    </w:p>
    <w:tbl>
      <w:tblPr>
        <w:tblpPr w:leftFromText="141" w:rightFromText="141" w:vertAnchor="page" w:horzAnchor="page" w:tblpX="1591" w:tblpY="2331"/>
        <w:tblW w:w="8939" w:type="dxa"/>
        <w:tblCellMar>
          <w:left w:w="0" w:type="dxa"/>
          <w:right w:w="0" w:type="dxa"/>
        </w:tblCellMar>
        <w:tblLook w:val="04A0" w:firstRow="1" w:lastRow="0" w:firstColumn="1" w:lastColumn="0" w:noHBand="0" w:noVBand="1"/>
      </w:tblPr>
      <w:tblGrid>
        <w:gridCol w:w="2272"/>
        <w:gridCol w:w="6667"/>
      </w:tblGrid>
      <w:tr w:rsidR="00EA4AA4" w:rsidRPr="00EA4AA4" w14:paraId="6B40A3EF" w14:textId="77777777" w:rsidTr="00EA4AA4">
        <w:trPr>
          <w:trHeight w:val="208"/>
          <w:tblHeader/>
        </w:trPr>
        <w:tc>
          <w:tcPr>
            <w:tcW w:w="0" w:type="auto"/>
            <w:tcBorders>
              <w:top w:val="single" w:sz="6" w:space="0" w:color="DDDDDD"/>
              <w:left w:val="single" w:sz="6" w:space="0" w:color="DDDDDD"/>
              <w:bottom w:val="single" w:sz="6" w:space="0" w:color="DDDDDD"/>
              <w:right w:val="single" w:sz="6" w:space="0" w:color="DDDDDD"/>
            </w:tcBorders>
            <w:hideMark/>
          </w:tcPr>
          <w:p w14:paraId="6D883C36" w14:textId="77777777" w:rsidR="00EA4AA4" w:rsidRPr="00EA4AA4" w:rsidRDefault="00EA4AA4" w:rsidP="00EA4AA4">
            <w:pPr>
              <w:pStyle w:val="NormalWeb"/>
              <w:shd w:val="clear" w:color="auto" w:fill="FFFFFF"/>
              <w:rPr>
                <w:rFonts w:ascii="var(--font-content)" w:hAnsi="var(--font-content)" w:cs="Noto Sans"/>
                <w:b/>
                <w:bCs/>
                <w:color w:val="333333"/>
                <w:sz w:val="22"/>
                <w:szCs w:val="22"/>
              </w:rPr>
            </w:pPr>
            <w:r w:rsidRPr="00EA4AA4">
              <w:rPr>
                <w:rFonts w:ascii="var(--font-content)" w:hAnsi="var(--font-content)" w:cs="Noto Sans"/>
                <w:b/>
                <w:bCs/>
                <w:color w:val="333333"/>
                <w:sz w:val="22"/>
                <w:szCs w:val="22"/>
              </w:rPr>
              <w:t>Betegnelse</w:t>
            </w:r>
          </w:p>
        </w:tc>
        <w:tc>
          <w:tcPr>
            <w:tcW w:w="7352" w:type="dxa"/>
            <w:tcBorders>
              <w:top w:val="single" w:sz="6" w:space="0" w:color="DDDDDD"/>
              <w:left w:val="single" w:sz="6" w:space="0" w:color="DDDDDD"/>
              <w:bottom w:val="single" w:sz="6" w:space="0" w:color="DDDDDD"/>
              <w:right w:val="single" w:sz="6" w:space="0" w:color="DDDDDD"/>
            </w:tcBorders>
            <w:hideMark/>
          </w:tcPr>
          <w:p w14:paraId="1E7AE219" w14:textId="77777777" w:rsidR="00EA4AA4" w:rsidRPr="00EA4AA4" w:rsidRDefault="00EA4AA4" w:rsidP="00EA4AA4">
            <w:pPr>
              <w:pStyle w:val="NormalWeb"/>
              <w:shd w:val="clear" w:color="auto" w:fill="FFFFFF"/>
              <w:rPr>
                <w:rFonts w:ascii="var(--font-content)" w:hAnsi="var(--font-content)" w:cs="Noto Sans"/>
                <w:b/>
                <w:bCs/>
                <w:color w:val="333333"/>
                <w:sz w:val="22"/>
                <w:szCs w:val="22"/>
              </w:rPr>
            </w:pPr>
            <w:r w:rsidRPr="00EA4AA4">
              <w:rPr>
                <w:rFonts w:ascii="var(--font-content)" w:hAnsi="var(--font-content)" w:cs="Noto Sans"/>
                <w:b/>
                <w:bCs/>
                <w:color w:val="333333"/>
                <w:sz w:val="22"/>
                <w:szCs w:val="22"/>
              </w:rPr>
              <w:t>Beskrivelse</w:t>
            </w:r>
          </w:p>
        </w:tc>
      </w:tr>
      <w:tr w:rsidR="00EA4AA4" w:rsidRPr="00EA4AA4" w14:paraId="6F243165"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29DDF346" w14:textId="77777777" w:rsidR="00EA4AA4" w:rsidRPr="00EA4AA4" w:rsidRDefault="00EA4AA4" w:rsidP="00EA4AA4">
            <w:pPr>
              <w:pStyle w:val="NormalWeb"/>
              <w:shd w:val="clear" w:color="auto" w:fill="FFFFFF"/>
              <w:rPr>
                <w:rFonts w:ascii="var(--font-content)" w:hAnsi="var(--font-content)" w:cs="Noto Sans"/>
                <w:sz w:val="22"/>
                <w:szCs w:val="22"/>
              </w:rPr>
            </w:pPr>
            <w:r w:rsidRPr="00EA4AA4">
              <w:rPr>
                <w:rFonts w:ascii="var(--font-content)" w:hAnsi="var(--font-content)" w:cs="Noto Sans"/>
                <w:b/>
                <w:bCs/>
                <w:sz w:val="22"/>
                <w:szCs w:val="22"/>
              </w:rPr>
              <w:t>Tredelt opbygning</w:t>
            </w:r>
          </w:p>
        </w:tc>
        <w:tc>
          <w:tcPr>
            <w:tcW w:w="7352" w:type="dxa"/>
            <w:tcBorders>
              <w:top w:val="single" w:sz="6" w:space="0" w:color="DDDDDD"/>
              <w:left w:val="single" w:sz="6" w:space="0" w:color="DDDDDD"/>
              <w:bottom w:val="single" w:sz="6" w:space="0" w:color="DDDDDD"/>
              <w:right w:val="single" w:sz="6" w:space="0" w:color="DDDDDD"/>
            </w:tcBorders>
            <w:hideMark/>
          </w:tcPr>
          <w:p w14:paraId="42CA8A30"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Begyndelse, midte og afslutning.</w:t>
            </w:r>
          </w:p>
        </w:tc>
      </w:tr>
      <w:tr w:rsidR="00EA4AA4" w:rsidRPr="00EA4AA4" w14:paraId="202EB103"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5A87E75A" w14:textId="77777777" w:rsidR="00EA4AA4" w:rsidRPr="00EA4AA4" w:rsidRDefault="00EA4AA4" w:rsidP="00EA4AA4">
            <w:pPr>
              <w:pStyle w:val="NormalWeb"/>
              <w:shd w:val="clear" w:color="auto" w:fill="FFFFFF"/>
              <w:rPr>
                <w:rFonts w:ascii="var(--font-content)" w:hAnsi="var(--font-content)" w:cs="Noto Sans"/>
                <w:sz w:val="22"/>
                <w:szCs w:val="22"/>
              </w:rPr>
            </w:pPr>
            <w:r w:rsidRPr="00EA4AA4">
              <w:rPr>
                <w:rFonts w:ascii="var(--font-content)" w:hAnsi="var(--font-content)" w:cs="Noto Sans"/>
                <w:b/>
                <w:bCs/>
                <w:sz w:val="22"/>
                <w:szCs w:val="22"/>
              </w:rPr>
              <w:t>Kontraktmode</w:t>
            </w:r>
            <w:r w:rsidRPr="00EA4AA4">
              <w:rPr>
                <w:rFonts w:ascii="var(--font-content)" w:hAnsi="var(--font-content)" w:cs="Noto Sans"/>
                <w:sz w:val="22"/>
                <w:szCs w:val="22"/>
              </w:rPr>
              <w:t>l</w:t>
            </w:r>
          </w:p>
        </w:tc>
        <w:tc>
          <w:tcPr>
            <w:tcW w:w="7352" w:type="dxa"/>
            <w:tcBorders>
              <w:top w:val="single" w:sz="6" w:space="0" w:color="DDDDDD"/>
              <w:left w:val="single" w:sz="6" w:space="0" w:color="DDDDDD"/>
              <w:bottom w:val="single" w:sz="6" w:space="0" w:color="DDDDDD"/>
              <w:right w:val="single" w:sz="6" w:space="0" w:color="DDDDDD"/>
            </w:tcBorders>
            <w:hideMark/>
          </w:tcPr>
          <w:p w14:paraId="2AC344AF" w14:textId="6A4DCD04"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 xml:space="preserve">Kontrakt, kontraktbrud, ude-situation, prøve, genetablering af kontrakt. Ses f.eks. i folkeeventyr. </w:t>
            </w:r>
            <w:r w:rsidRPr="00EA4AA4">
              <w:rPr>
                <w:rFonts w:ascii="var(--font-content)" w:hAnsi="var(--font-content)" w:cs="Noto Sans"/>
                <w:b/>
                <w:bCs/>
                <w:color w:val="333333"/>
                <w:sz w:val="22"/>
                <w:szCs w:val="22"/>
              </w:rPr>
              <w:t>Se uddybning nedenunder skemaet.</w:t>
            </w:r>
          </w:p>
        </w:tc>
      </w:tr>
      <w:tr w:rsidR="00EA4AA4" w:rsidRPr="00EA4AA4" w14:paraId="7D1E440A"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3A4985D9" w14:textId="77777777" w:rsidR="00EA4AA4" w:rsidRPr="00EA4AA4" w:rsidRDefault="00EA4AA4" w:rsidP="00EA4AA4">
            <w:pPr>
              <w:pStyle w:val="NormalWeb"/>
              <w:shd w:val="clear" w:color="auto" w:fill="FFFFFF"/>
              <w:rPr>
                <w:rFonts w:ascii="var(--font-content)" w:hAnsi="var(--font-content)" w:cs="Noto Sans"/>
                <w:sz w:val="22"/>
                <w:szCs w:val="22"/>
              </w:rPr>
            </w:pPr>
            <w:r w:rsidRPr="00EA4AA4">
              <w:rPr>
                <w:rFonts w:ascii="var(--font-content)" w:hAnsi="var(--font-content)" w:cs="Noto Sans"/>
                <w:b/>
                <w:bCs/>
                <w:sz w:val="22"/>
                <w:szCs w:val="22"/>
              </w:rPr>
              <w:t>Hjemme-ude-hjem</w:t>
            </w:r>
          </w:p>
        </w:tc>
        <w:tc>
          <w:tcPr>
            <w:tcW w:w="7352" w:type="dxa"/>
            <w:tcBorders>
              <w:top w:val="single" w:sz="6" w:space="0" w:color="DDDDDD"/>
              <w:left w:val="single" w:sz="6" w:space="0" w:color="DDDDDD"/>
              <w:bottom w:val="single" w:sz="6" w:space="0" w:color="DDDDDD"/>
              <w:right w:val="single" w:sz="6" w:space="0" w:color="DDDDDD"/>
            </w:tcBorders>
            <w:hideMark/>
          </w:tcPr>
          <w:p w14:paraId="31A0B3CB"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Eksposition, konfliktfase, løsningsfase. Ses f.eks. i folkeviser og folkeeventyr.</w:t>
            </w:r>
          </w:p>
        </w:tc>
      </w:tr>
      <w:tr w:rsidR="00EA4AA4" w:rsidRPr="00EA4AA4" w14:paraId="2340336B"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0D2536E9" w14:textId="77777777" w:rsidR="00EA4AA4" w:rsidRPr="00EA4AA4" w:rsidRDefault="00EA4AA4" w:rsidP="00EA4AA4">
            <w:pPr>
              <w:pStyle w:val="NormalWeb"/>
              <w:shd w:val="clear" w:color="auto" w:fill="FFFFFF"/>
              <w:rPr>
                <w:rFonts w:ascii="var(--font-content)" w:hAnsi="var(--font-content)" w:cs="Noto Sans"/>
                <w:sz w:val="22"/>
                <w:szCs w:val="22"/>
              </w:rPr>
            </w:pPr>
            <w:r w:rsidRPr="00EA4AA4">
              <w:rPr>
                <w:rFonts w:ascii="var(--font-content)" w:hAnsi="var(--font-content)" w:cs="Noto Sans"/>
                <w:b/>
                <w:bCs/>
                <w:sz w:val="22"/>
                <w:szCs w:val="22"/>
              </w:rPr>
              <w:t>Kronologisk opbygning</w:t>
            </w:r>
          </w:p>
        </w:tc>
        <w:tc>
          <w:tcPr>
            <w:tcW w:w="7352" w:type="dxa"/>
            <w:tcBorders>
              <w:top w:val="single" w:sz="6" w:space="0" w:color="DDDDDD"/>
              <w:left w:val="single" w:sz="6" w:space="0" w:color="DDDDDD"/>
              <w:bottom w:val="single" w:sz="6" w:space="0" w:color="DDDDDD"/>
              <w:right w:val="single" w:sz="6" w:space="0" w:color="DDDDDD"/>
            </w:tcBorders>
            <w:hideMark/>
          </w:tcPr>
          <w:p w14:paraId="67B8451C"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Fortællingens enkelte dele kommer kronologisk efter hinanden i den rækkefølge, de er sket.</w:t>
            </w:r>
          </w:p>
        </w:tc>
      </w:tr>
      <w:tr w:rsidR="00EA4AA4" w:rsidRPr="00EA4AA4" w14:paraId="04B2D14A" w14:textId="77777777" w:rsidTr="00EA4AA4">
        <w:trPr>
          <w:trHeight w:val="403"/>
        </w:trPr>
        <w:tc>
          <w:tcPr>
            <w:tcW w:w="0" w:type="auto"/>
            <w:tcBorders>
              <w:top w:val="single" w:sz="6" w:space="0" w:color="DDDDDD"/>
              <w:left w:val="single" w:sz="6" w:space="0" w:color="DDDDDD"/>
              <w:bottom w:val="single" w:sz="6" w:space="0" w:color="DDDDDD"/>
              <w:right w:val="single" w:sz="6" w:space="0" w:color="DDDDDD"/>
            </w:tcBorders>
            <w:hideMark/>
          </w:tcPr>
          <w:p w14:paraId="71014717" w14:textId="77777777" w:rsidR="00EA4AA4" w:rsidRPr="00EA4AA4" w:rsidRDefault="00EA4AA4" w:rsidP="00EA4AA4">
            <w:pPr>
              <w:pStyle w:val="NormalWeb"/>
              <w:shd w:val="clear" w:color="auto" w:fill="FFFFFF"/>
              <w:rPr>
                <w:rFonts w:ascii="var(--font-content)" w:hAnsi="var(--font-content)" w:cs="Noto Sans"/>
                <w:sz w:val="22"/>
                <w:szCs w:val="22"/>
                <w:lang w:val="en-US"/>
              </w:rPr>
            </w:pPr>
            <w:r w:rsidRPr="00EA4AA4">
              <w:rPr>
                <w:rFonts w:ascii="var(--font-content)" w:hAnsi="var(--font-content)" w:cs="Noto Sans"/>
                <w:b/>
                <w:bCs/>
                <w:sz w:val="22"/>
                <w:szCs w:val="22"/>
                <w:lang w:val="en-US"/>
              </w:rPr>
              <w:t xml:space="preserve">In medias res </w:t>
            </w:r>
            <w:proofErr w:type="spellStart"/>
            <w:r w:rsidRPr="00EA4AA4">
              <w:rPr>
                <w:rFonts w:ascii="var(--font-content)" w:hAnsi="var(--font-content)" w:cs="Noto Sans"/>
                <w:b/>
                <w:bCs/>
                <w:sz w:val="22"/>
                <w:szCs w:val="22"/>
                <w:lang w:val="en-US"/>
              </w:rPr>
              <w:t>og</w:t>
            </w:r>
            <w:proofErr w:type="spellEnd"/>
            <w:r w:rsidRPr="00EA4AA4">
              <w:rPr>
                <w:rFonts w:ascii="var(--font-content)" w:hAnsi="var(--font-content)" w:cs="Noto Sans"/>
                <w:b/>
                <w:bCs/>
                <w:sz w:val="22"/>
                <w:szCs w:val="22"/>
                <w:lang w:val="en-US"/>
              </w:rPr>
              <w:t xml:space="preserve"> in </w:t>
            </w:r>
            <w:proofErr w:type="spellStart"/>
            <w:r w:rsidRPr="00EA4AA4">
              <w:rPr>
                <w:rFonts w:ascii="var(--font-content)" w:hAnsi="var(--font-content)" w:cs="Noto Sans"/>
                <w:b/>
                <w:bCs/>
                <w:sz w:val="22"/>
                <w:szCs w:val="22"/>
                <w:lang w:val="en-US"/>
              </w:rPr>
              <w:t>ultimas</w:t>
            </w:r>
            <w:proofErr w:type="spellEnd"/>
            <w:r w:rsidRPr="00EA4AA4">
              <w:rPr>
                <w:rFonts w:ascii="var(--font-content)" w:hAnsi="var(--font-content)" w:cs="Noto Sans"/>
                <w:b/>
                <w:bCs/>
                <w:sz w:val="22"/>
                <w:szCs w:val="22"/>
                <w:lang w:val="en-US"/>
              </w:rPr>
              <w:t xml:space="preserve"> res</w:t>
            </w:r>
          </w:p>
        </w:tc>
        <w:tc>
          <w:tcPr>
            <w:tcW w:w="7352" w:type="dxa"/>
            <w:tcBorders>
              <w:top w:val="single" w:sz="6" w:space="0" w:color="DDDDDD"/>
              <w:left w:val="single" w:sz="6" w:space="0" w:color="DDDDDD"/>
              <w:bottom w:val="single" w:sz="6" w:space="0" w:color="DDDDDD"/>
              <w:right w:val="single" w:sz="6" w:space="0" w:color="DDDDDD"/>
            </w:tcBorders>
            <w:hideMark/>
          </w:tcPr>
          <w:p w14:paraId="59113889"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 xml:space="preserve">I "in medias res"-optakten kastes læseren fra begyndelsen ind i begivenhedernes midte. Denne optakt er god til at skabe drama og spænding. I "in </w:t>
            </w:r>
            <w:proofErr w:type="spellStart"/>
            <w:r w:rsidRPr="00EA4AA4">
              <w:rPr>
                <w:rFonts w:ascii="var(--font-content)" w:hAnsi="var(--font-content)" w:cs="Noto Sans"/>
                <w:color w:val="333333"/>
                <w:sz w:val="22"/>
                <w:szCs w:val="22"/>
              </w:rPr>
              <w:t>ultimas</w:t>
            </w:r>
            <w:proofErr w:type="spellEnd"/>
            <w:r w:rsidRPr="00EA4AA4">
              <w:rPr>
                <w:rFonts w:ascii="var(--font-content)" w:hAnsi="var(--font-content)" w:cs="Noto Sans"/>
                <w:color w:val="333333"/>
                <w:sz w:val="22"/>
                <w:szCs w:val="22"/>
              </w:rPr>
              <w:t xml:space="preserve"> res"-optakten får læseren slutningen til at begynde med. Det benyttes ofte i krimier.</w:t>
            </w:r>
          </w:p>
        </w:tc>
      </w:tr>
      <w:tr w:rsidR="00EA4AA4" w:rsidRPr="00EA4AA4" w14:paraId="6C73BBB8"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5B13BE7A" w14:textId="77777777" w:rsidR="00EA4AA4" w:rsidRPr="00EA4AA4" w:rsidRDefault="00EA4AA4" w:rsidP="00EA4AA4">
            <w:pPr>
              <w:pStyle w:val="NormalWeb"/>
              <w:shd w:val="clear" w:color="auto" w:fill="FFFFFF"/>
              <w:rPr>
                <w:rFonts w:ascii="var(--font-content)" w:hAnsi="var(--font-content)" w:cs="Noto Sans"/>
                <w:color w:val="333333"/>
                <w:sz w:val="22"/>
                <w:szCs w:val="22"/>
                <w:lang w:val="en-US"/>
              </w:rPr>
            </w:pPr>
            <w:r w:rsidRPr="00EA4AA4">
              <w:rPr>
                <w:rFonts w:ascii="var(--font-content)" w:hAnsi="var(--font-content)" w:cs="Noto Sans"/>
                <w:b/>
                <w:bCs/>
                <w:color w:val="333333"/>
                <w:sz w:val="22"/>
                <w:szCs w:val="22"/>
                <w:lang w:val="en-US"/>
              </w:rPr>
              <w:t xml:space="preserve">Flash back </w:t>
            </w:r>
            <w:proofErr w:type="spellStart"/>
            <w:r w:rsidRPr="00EA4AA4">
              <w:rPr>
                <w:rFonts w:ascii="var(--font-content)" w:hAnsi="var(--font-content)" w:cs="Noto Sans"/>
                <w:b/>
                <w:bCs/>
                <w:color w:val="333333"/>
                <w:sz w:val="22"/>
                <w:szCs w:val="22"/>
                <w:lang w:val="en-US"/>
              </w:rPr>
              <w:t>og</w:t>
            </w:r>
            <w:proofErr w:type="spellEnd"/>
            <w:r w:rsidRPr="00EA4AA4">
              <w:rPr>
                <w:rFonts w:ascii="var(--font-content)" w:hAnsi="var(--font-content)" w:cs="Noto Sans"/>
                <w:b/>
                <w:bCs/>
                <w:color w:val="333333"/>
                <w:sz w:val="22"/>
                <w:szCs w:val="22"/>
                <w:lang w:val="en-US"/>
              </w:rPr>
              <w:t xml:space="preserve"> flash forward</w:t>
            </w:r>
          </w:p>
        </w:tc>
        <w:tc>
          <w:tcPr>
            <w:tcW w:w="7352" w:type="dxa"/>
            <w:tcBorders>
              <w:top w:val="single" w:sz="6" w:space="0" w:color="DDDDDD"/>
              <w:left w:val="single" w:sz="6" w:space="0" w:color="DDDDDD"/>
              <w:bottom w:val="single" w:sz="6" w:space="0" w:color="DDDDDD"/>
              <w:right w:val="single" w:sz="6" w:space="0" w:color="DDDDDD"/>
            </w:tcBorders>
            <w:hideMark/>
          </w:tcPr>
          <w:p w14:paraId="1F7F29CF"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Henholdsvis spring bagud og spring fremad i tid. Ses f.eks. hos Scherfig i </w:t>
            </w:r>
            <w:r w:rsidRPr="00EA4AA4">
              <w:rPr>
                <w:rFonts w:ascii="var(--font-content)" w:hAnsi="var(--font-content)" w:cs="Noto Sans"/>
                <w:i/>
                <w:iCs/>
                <w:color w:val="333333"/>
                <w:sz w:val="22"/>
                <w:szCs w:val="22"/>
              </w:rPr>
              <w:t>Det forsømte forår</w:t>
            </w:r>
            <w:r w:rsidRPr="00EA4AA4">
              <w:rPr>
                <w:rFonts w:ascii="var(--font-content)" w:hAnsi="var(--font-content)" w:cs="Noto Sans"/>
                <w:color w:val="333333"/>
                <w:sz w:val="22"/>
                <w:szCs w:val="22"/>
              </w:rPr>
              <w:t> (1940).</w:t>
            </w:r>
          </w:p>
        </w:tc>
      </w:tr>
      <w:tr w:rsidR="00EA4AA4" w:rsidRPr="00EA4AA4" w14:paraId="03C1F92A"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2EF573A9"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Lukket eller åben slutning</w:t>
            </w:r>
          </w:p>
        </w:tc>
        <w:tc>
          <w:tcPr>
            <w:tcW w:w="7352" w:type="dxa"/>
            <w:tcBorders>
              <w:top w:val="single" w:sz="6" w:space="0" w:color="DDDDDD"/>
              <w:left w:val="single" w:sz="6" w:space="0" w:color="DDDDDD"/>
              <w:bottom w:val="single" w:sz="6" w:space="0" w:color="DDDDDD"/>
              <w:right w:val="single" w:sz="6" w:space="0" w:color="DDDDDD"/>
            </w:tcBorders>
            <w:hideMark/>
          </w:tcPr>
          <w:p w14:paraId="1962F0F0"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Ved en lukket slutning falder alting på plads til sidst i fortællingen, og ved en åben slutning gives der ikke nogen klar løsning på fortællingens konflikter og problemer.</w:t>
            </w:r>
          </w:p>
        </w:tc>
      </w:tr>
      <w:tr w:rsidR="00EA4AA4" w:rsidRPr="00EA4AA4" w14:paraId="4C3CD372"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438068CB"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Rammefortælling</w:t>
            </w:r>
          </w:p>
        </w:tc>
        <w:tc>
          <w:tcPr>
            <w:tcW w:w="7352" w:type="dxa"/>
            <w:tcBorders>
              <w:top w:val="single" w:sz="6" w:space="0" w:color="DDDDDD"/>
              <w:left w:val="single" w:sz="6" w:space="0" w:color="DDDDDD"/>
              <w:bottom w:val="single" w:sz="6" w:space="0" w:color="DDDDDD"/>
              <w:right w:val="single" w:sz="6" w:space="0" w:color="DDDDDD"/>
            </w:tcBorders>
            <w:hideMark/>
          </w:tcPr>
          <w:p w14:paraId="304117DA"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Den centrale fortælling er indrammet af en situation eller fortælling, hvorfra den centrale fortælling fortælles. Ses f.eks. hos Blicher i </w:t>
            </w:r>
            <w:r w:rsidRPr="00EA4AA4">
              <w:rPr>
                <w:rFonts w:ascii="var(--font-content)" w:hAnsi="var(--font-content)" w:cs="Noto Sans"/>
                <w:i/>
                <w:iCs/>
                <w:color w:val="333333"/>
                <w:sz w:val="22"/>
                <w:szCs w:val="22"/>
              </w:rPr>
              <w:t>Sildig opvågnen</w:t>
            </w:r>
            <w:r w:rsidRPr="00EA4AA4">
              <w:rPr>
                <w:rFonts w:ascii="var(--font-content)" w:hAnsi="var(--font-content)" w:cs="Noto Sans"/>
                <w:color w:val="333333"/>
                <w:sz w:val="22"/>
                <w:szCs w:val="22"/>
              </w:rPr>
              <w:t> (1828).</w:t>
            </w:r>
          </w:p>
        </w:tc>
      </w:tr>
      <w:tr w:rsidR="00EA4AA4" w:rsidRPr="00EA4AA4" w14:paraId="4BBB01B6" w14:textId="77777777" w:rsidTr="00EA4AA4">
        <w:trPr>
          <w:trHeight w:val="417"/>
        </w:trPr>
        <w:tc>
          <w:tcPr>
            <w:tcW w:w="0" w:type="auto"/>
            <w:tcBorders>
              <w:top w:val="single" w:sz="6" w:space="0" w:color="DDDDDD"/>
              <w:left w:val="single" w:sz="6" w:space="0" w:color="DDDDDD"/>
              <w:bottom w:val="single" w:sz="6" w:space="0" w:color="DDDDDD"/>
              <w:right w:val="single" w:sz="6" w:space="0" w:color="DDDDDD"/>
            </w:tcBorders>
            <w:hideMark/>
          </w:tcPr>
          <w:p w14:paraId="5488A0AB"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Dokumentfiktion</w:t>
            </w:r>
          </w:p>
        </w:tc>
        <w:tc>
          <w:tcPr>
            <w:tcW w:w="7352" w:type="dxa"/>
            <w:tcBorders>
              <w:top w:val="single" w:sz="6" w:space="0" w:color="DDDDDD"/>
              <w:left w:val="single" w:sz="6" w:space="0" w:color="DDDDDD"/>
              <w:bottom w:val="single" w:sz="6" w:space="0" w:color="DDDDDD"/>
              <w:right w:val="single" w:sz="6" w:space="0" w:color="DDDDDD"/>
            </w:tcBorders>
            <w:hideMark/>
          </w:tcPr>
          <w:p w14:paraId="18889B50"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 xml:space="preserve">En fiktiv tekst, der efterligner en bestemt </w:t>
            </w:r>
            <w:proofErr w:type="spellStart"/>
            <w:r w:rsidRPr="00EA4AA4">
              <w:rPr>
                <w:rFonts w:ascii="var(--font-content)" w:hAnsi="var(--font-content)" w:cs="Noto Sans"/>
                <w:color w:val="333333"/>
                <w:sz w:val="22"/>
                <w:szCs w:val="22"/>
              </w:rPr>
              <w:t>faktagenres</w:t>
            </w:r>
            <w:proofErr w:type="spellEnd"/>
            <w:r w:rsidRPr="00EA4AA4">
              <w:rPr>
                <w:rFonts w:ascii="var(--font-content)" w:hAnsi="var(--font-content)" w:cs="Noto Sans"/>
                <w:color w:val="333333"/>
                <w:sz w:val="22"/>
                <w:szCs w:val="22"/>
              </w:rPr>
              <w:t xml:space="preserve"> kommunikationsform (sms, brev, dagbog, nekrolog m.m.), som regel et medie til personlig kommunikation. Ses f.eks. i Merete Pryds Helles sms-novelle </w:t>
            </w:r>
            <w:r w:rsidRPr="00EA4AA4">
              <w:rPr>
                <w:rFonts w:ascii="var(--font-content)" w:hAnsi="var(--font-content)" w:cs="Noto Sans"/>
                <w:i/>
                <w:iCs/>
                <w:color w:val="333333"/>
                <w:sz w:val="22"/>
                <w:szCs w:val="22"/>
              </w:rPr>
              <w:t>Jeg tror jeg elsker dig</w:t>
            </w:r>
            <w:r w:rsidRPr="00EA4AA4">
              <w:rPr>
                <w:rFonts w:ascii="var(--font-content)" w:hAnsi="var(--font-content)" w:cs="Noto Sans"/>
                <w:color w:val="333333"/>
                <w:sz w:val="22"/>
                <w:szCs w:val="22"/>
              </w:rPr>
              <w:t> (2008) og i Blichers </w:t>
            </w:r>
            <w:r w:rsidRPr="00EA4AA4">
              <w:rPr>
                <w:rFonts w:ascii="var(--font-content)" w:hAnsi="var(--font-content)" w:cs="Noto Sans"/>
                <w:i/>
                <w:iCs/>
                <w:color w:val="333333"/>
                <w:sz w:val="22"/>
                <w:szCs w:val="22"/>
              </w:rPr>
              <w:t>En landsbydegns dagbog</w:t>
            </w:r>
            <w:r w:rsidRPr="00EA4AA4">
              <w:rPr>
                <w:rFonts w:ascii="var(--font-content)" w:hAnsi="var(--font-content)" w:cs="Noto Sans"/>
                <w:color w:val="333333"/>
                <w:sz w:val="22"/>
                <w:szCs w:val="22"/>
              </w:rPr>
              <w:t> (1824).</w:t>
            </w:r>
          </w:p>
        </w:tc>
      </w:tr>
      <w:tr w:rsidR="00EA4AA4" w:rsidRPr="00EA4AA4" w14:paraId="5EDB1F2D"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603D7F0D"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Kinesisk æske-system</w:t>
            </w:r>
          </w:p>
        </w:tc>
        <w:tc>
          <w:tcPr>
            <w:tcW w:w="7352" w:type="dxa"/>
            <w:tcBorders>
              <w:top w:val="single" w:sz="6" w:space="0" w:color="DDDDDD"/>
              <w:left w:val="single" w:sz="6" w:space="0" w:color="DDDDDD"/>
              <w:bottom w:val="single" w:sz="6" w:space="0" w:color="DDDDDD"/>
              <w:right w:val="single" w:sz="6" w:space="0" w:color="DDDDDD"/>
            </w:tcBorders>
            <w:hideMark/>
          </w:tcPr>
          <w:p w14:paraId="3240110E"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Flere fortællinger inden i hinanden. Ses f.eks. i Karen Blixens </w:t>
            </w:r>
            <w:r w:rsidRPr="00EA4AA4">
              <w:rPr>
                <w:rFonts w:ascii="var(--font-content)" w:hAnsi="var(--font-content)" w:cs="Noto Sans"/>
                <w:i/>
                <w:iCs/>
                <w:color w:val="333333"/>
                <w:sz w:val="22"/>
                <w:szCs w:val="22"/>
              </w:rPr>
              <w:t>Dykkeren</w:t>
            </w:r>
            <w:r w:rsidRPr="00EA4AA4">
              <w:rPr>
                <w:rFonts w:ascii="var(--font-content)" w:hAnsi="var(--font-content)" w:cs="Noto Sans"/>
                <w:color w:val="333333"/>
                <w:sz w:val="22"/>
                <w:szCs w:val="22"/>
              </w:rPr>
              <w:t> (1958).</w:t>
            </w:r>
          </w:p>
        </w:tc>
      </w:tr>
      <w:tr w:rsidR="00EA4AA4" w:rsidRPr="00EA4AA4" w14:paraId="2CC1E134"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1747DA11"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Collage/Montage</w:t>
            </w:r>
          </w:p>
        </w:tc>
        <w:tc>
          <w:tcPr>
            <w:tcW w:w="7352" w:type="dxa"/>
            <w:tcBorders>
              <w:top w:val="single" w:sz="6" w:space="0" w:color="DDDDDD"/>
              <w:left w:val="single" w:sz="6" w:space="0" w:color="DDDDDD"/>
              <w:bottom w:val="single" w:sz="6" w:space="0" w:color="DDDDDD"/>
              <w:right w:val="single" w:sz="6" w:space="0" w:color="DDDDDD"/>
            </w:tcBorders>
            <w:hideMark/>
          </w:tcPr>
          <w:p w14:paraId="3A85740D"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En sammenstilling af forskellige tekstelementer, der ikke holdes sammen af en handling eller en kronologi, men godt kan kredse om et tema eller en overordnet idé. Ses f.eks. i Peer Hultbergs </w:t>
            </w:r>
            <w:proofErr w:type="spellStart"/>
            <w:r w:rsidRPr="00EA4AA4">
              <w:rPr>
                <w:rFonts w:ascii="var(--font-content)" w:hAnsi="var(--font-content)" w:cs="Noto Sans"/>
                <w:i/>
                <w:iCs/>
                <w:color w:val="333333"/>
                <w:sz w:val="22"/>
                <w:szCs w:val="22"/>
              </w:rPr>
              <w:t>Requiem</w:t>
            </w:r>
            <w:proofErr w:type="spellEnd"/>
            <w:r w:rsidRPr="00EA4AA4">
              <w:rPr>
                <w:rFonts w:ascii="var(--font-content)" w:hAnsi="var(--font-content)" w:cs="Noto Sans"/>
                <w:color w:val="333333"/>
                <w:sz w:val="22"/>
                <w:szCs w:val="22"/>
              </w:rPr>
              <w:t> (1985)</w:t>
            </w:r>
          </w:p>
        </w:tc>
      </w:tr>
      <w:tr w:rsidR="00EA4AA4" w:rsidRPr="00EA4AA4" w14:paraId="1C7B34D9" w14:textId="77777777" w:rsidTr="00EA4AA4">
        <w:trPr>
          <w:trHeight w:val="208"/>
        </w:trPr>
        <w:tc>
          <w:tcPr>
            <w:tcW w:w="0" w:type="auto"/>
            <w:tcBorders>
              <w:top w:val="single" w:sz="6" w:space="0" w:color="DDDDDD"/>
              <w:left w:val="single" w:sz="6" w:space="0" w:color="DDDDDD"/>
              <w:bottom w:val="single" w:sz="6" w:space="0" w:color="DDDDDD"/>
              <w:right w:val="single" w:sz="6" w:space="0" w:color="DDDDDD"/>
            </w:tcBorders>
            <w:hideMark/>
          </w:tcPr>
          <w:p w14:paraId="24E95080"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Parallelkomposition</w:t>
            </w:r>
          </w:p>
        </w:tc>
        <w:tc>
          <w:tcPr>
            <w:tcW w:w="7352" w:type="dxa"/>
            <w:tcBorders>
              <w:top w:val="single" w:sz="6" w:space="0" w:color="DDDDDD"/>
              <w:left w:val="single" w:sz="6" w:space="0" w:color="DDDDDD"/>
              <w:bottom w:val="single" w:sz="6" w:space="0" w:color="DDDDDD"/>
              <w:right w:val="single" w:sz="6" w:space="0" w:color="DDDDDD"/>
            </w:tcBorders>
            <w:hideMark/>
          </w:tcPr>
          <w:p w14:paraId="25C1F25A"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To eller flere fortællinger, der løber parallelt, evt. krydser hinanden eller spejler hinanden.</w:t>
            </w:r>
          </w:p>
        </w:tc>
      </w:tr>
      <w:tr w:rsidR="00EA4AA4" w:rsidRPr="00EA4AA4" w14:paraId="496AA6A5"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3DA72D9E"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Cirkelkomposition</w:t>
            </w:r>
          </w:p>
        </w:tc>
        <w:tc>
          <w:tcPr>
            <w:tcW w:w="7352" w:type="dxa"/>
            <w:tcBorders>
              <w:top w:val="single" w:sz="6" w:space="0" w:color="DDDDDD"/>
              <w:left w:val="single" w:sz="6" w:space="0" w:color="DDDDDD"/>
              <w:bottom w:val="single" w:sz="6" w:space="0" w:color="DDDDDD"/>
              <w:right w:val="single" w:sz="6" w:space="0" w:color="DDDDDD"/>
            </w:tcBorders>
            <w:hideMark/>
          </w:tcPr>
          <w:p w14:paraId="518DD67F"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Fortælling, der slutter, der hvor den startede. Ses f.eks. i Herman Bangs </w:t>
            </w:r>
            <w:r w:rsidRPr="00EA4AA4">
              <w:rPr>
                <w:rFonts w:ascii="var(--font-content)" w:hAnsi="var(--font-content)" w:cs="Noto Sans"/>
                <w:i/>
                <w:iCs/>
                <w:color w:val="333333"/>
                <w:sz w:val="22"/>
                <w:szCs w:val="22"/>
              </w:rPr>
              <w:t>Irene Holm</w:t>
            </w:r>
            <w:r w:rsidRPr="00EA4AA4">
              <w:rPr>
                <w:rFonts w:ascii="var(--font-content)" w:hAnsi="var(--font-content)" w:cs="Noto Sans"/>
                <w:color w:val="333333"/>
                <w:sz w:val="22"/>
                <w:szCs w:val="22"/>
              </w:rPr>
              <w:t> (1890) og i Naja Maria Aidts </w:t>
            </w:r>
            <w:r w:rsidRPr="00EA4AA4">
              <w:rPr>
                <w:rFonts w:ascii="var(--font-content)" w:hAnsi="var(--font-content)" w:cs="Noto Sans"/>
                <w:i/>
                <w:iCs/>
                <w:color w:val="333333"/>
                <w:sz w:val="22"/>
                <w:szCs w:val="22"/>
              </w:rPr>
              <w:t>Torben og Maria</w:t>
            </w:r>
            <w:r w:rsidRPr="00EA4AA4">
              <w:rPr>
                <w:rFonts w:ascii="var(--font-content)" w:hAnsi="var(--font-content)" w:cs="Noto Sans"/>
                <w:color w:val="333333"/>
                <w:sz w:val="22"/>
                <w:szCs w:val="22"/>
              </w:rPr>
              <w:t> (2006).</w:t>
            </w:r>
          </w:p>
        </w:tc>
      </w:tr>
      <w:tr w:rsidR="00EA4AA4" w:rsidRPr="00EA4AA4" w14:paraId="4AD38D87" w14:textId="77777777" w:rsidTr="00EA4AA4">
        <w:trPr>
          <w:trHeight w:val="417"/>
        </w:trPr>
        <w:tc>
          <w:tcPr>
            <w:tcW w:w="0" w:type="auto"/>
            <w:tcBorders>
              <w:top w:val="single" w:sz="6" w:space="0" w:color="DDDDDD"/>
              <w:left w:val="single" w:sz="6" w:space="0" w:color="DDDDDD"/>
              <w:bottom w:val="single" w:sz="6" w:space="0" w:color="DDDDDD"/>
              <w:right w:val="single" w:sz="6" w:space="0" w:color="DDDDDD"/>
            </w:tcBorders>
            <w:hideMark/>
          </w:tcPr>
          <w:p w14:paraId="1B87DFFC"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Hypertekst</w:t>
            </w:r>
          </w:p>
        </w:tc>
        <w:tc>
          <w:tcPr>
            <w:tcW w:w="7352" w:type="dxa"/>
            <w:tcBorders>
              <w:top w:val="single" w:sz="6" w:space="0" w:color="DDDDDD"/>
              <w:left w:val="single" w:sz="6" w:space="0" w:color="DDDDDD"/>
              <w:bottom w:val="single" w:sz="6" w:space="0" w:color="DDDDDD"/>
              <w:right w:val="single" w:sz="6" w:space="0" w:color="DDDDDD"/>
            </w:tcBorders>
            <w:hideMark/>
          </w:tcPr>
          <w:p w14:paraId="46A88A6F"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Fortælling, der består af flere små tekster eller fortællinger, som læseren kan navigere valgfrit rundt mellem. Ses f.eks. i Svend Åge Madsens </w:t>
            </w:r>
            <w:r w:rsidRPr="00EA4AA4">
              <w:rPr>
                <w:rFonts w:ascii="var(--font-content)" w:hAnsi="var(--font-content)" w:cs="Noto Sans"/>
                <w:i/>
                <w:iCs/>
                <w:color w:val="333333"/>
                <w:sz w:val="22"/>
                <w:szCs w:val="22"/>
              </w:rPr>
              <w:t>Dage med Diam</w:t>
            </w:r>
            <w:r w:rsidRPr="00EA4AA4">
              <w:rPr>
                <w:rFonts w:ascii="var(--font-content)" w:hAnsi="var(--font-content)" w:cs="Noto Sans"/>
                <w:color w:val="333333"/>
                <w:sz w:val="22"/>
                <w:szCs w:val="22"/>
              </w:rPr>
              <w:t> (1972) og i Merete Pryds Helle og Morten Søndergårds (Liv Mørk) </w:t>
            </w:r>
            <w:r w:rsidRPr="00EA4AA4">
              <w:rPr>
                <w:rFonts w:ascii="var(--font-content)" w:hAnsi="var(--font-content)" w:cs="Noto Sans"/>
                <w:i/>
                <w:iCs/>
                <w:color w:val="333333"/>
                <w:sz w:val="22"/>
                <w:szCs w:val="22"/>
              </w:rPr>
              <w:t>Begravelsen</w:t>
            </w:r>
            <w:r w:rsidRPr="00EA4AA4">
              <w:rPr>
                <w:rFonts w:ascii="var(--font-content)" w:hAnsi="var(--font-content)" w:cs="Noto Sans"/>
                <w:color w:val="333333"/>
                <w:sz w:val="22"/>
                <w:szCs w:val="22"/>
              </w:rPr>
              <w:t> (2011).</w:t>
            </w:r>
          </w:p>
        </w:tc>
      </w:tr>
      <w:tr w:rsidR="00EA4AA4" w:rsidRPr="00EA4AA4" w14:paraId="18509569"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30E95FA4"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Netværkskomposition</w:t>
            </w:r>
          </w:p>
        </w:tc>
        <w:tc>
          <w:tcPr>
            <w:tcW w:w="7352" w:type="dxa"/>
            <w:tcBorders>
              <w:top w:val="single" w:sz="6" w:space="0" w:color="DDDDDD"/>
              <w:left w:val="single" w:sz="6" w:space="0" w:color="DDDDDD"/>
              <w:bottom w:val="single" w:sz="6" w:space="0" w:color="DDDDDD"/>
              <w:right w:val="single" w:sz="6" w:space="0" w:color="DDDDDD"/>
            </w:tcBorders>
            <w:hideMark/>
          </w:tcPr>
          <w:p w14:paraId="0406EA21"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Et netværk af fortællinger, der griber ind i hinanden. Ses f.eks. i Peer Hultbergs </w:t>
            </w:r>
            <w:r w:rsidRPr="00EA4AA4">
              <w:rPr>
                <w:rFonts w:ascii="var(--font-content)" w:hAnsi="var(--font-content)" w:cs="Noto Sans"/>
                <w:i/>
                <w:iCs/>
                <w:color w:val="333333"/>
                <w:sz w:val="22"/>
                <w:szCs w:val="22"/>
              </w:rPr>
              <w:t>Byen og verden</w:t>
            </w:r>
            <w:r w:rsidRPr="00EA4AA4">
              <w:rPr>
                <w:rFonts w:ascii="var(--font-content)" w:hAnsi="var(--font-content)" w:cs="Noto Sans"/>
                <w:color w:val="333333"/>
                <w:sz w:val="22"/>
                <w:szCs w:val="22"/>
              </w:rPr>
              <w:t> (1992)</w:t>
            </w:r>
          </w:p>
        </w:tc>
      </w:tr>
      <w:tr w:rsidR="00EA4AA4" w:rsidRPr="00EA4AA4" w14:paraId="52D2F80F" w14:textId="77777777" w:rsidTr="00EA4AA4">
        <w:trPr>
          <w:trHeight w:val="194"/>
        </w:trPr>
        <w:tc>
          <w:tcPr>
            <w:tcW w:w="0" w:type="auto"/>
            <w:tcBorders>
              <w:top w:val="single" w:sz="6" w:space="0" w:color="DDDDDD"/>
              <w:left w:val="single" w:sz="6" w:space="0" w:color="DDDDDD"/>
              <w:bottom w:val="single" w:sz="6" w:space="0" w:color="DDDDDD"/>
              <w:right w:val="single" w:sz="6" w:space="0" w:color="DDDDDD"/>
            </w:tcBorders>
            <w:hideMark/>
          </w:tcPr>
          <w:p w14:paraId="66809111"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b/>
                <w:bCs/>
                <w:color w:val="333333"/>
                <w:sz w:val="22"/>
                <w:szCs w:val="22"/>
              </w:rPr>
              <w:t>Simultankomposition</w:t>
            </w:r>
          </w:p>
        </w:tc>
        <w:tc>
          <w:tcPr>
            <w:tcW w:w="7352" w:type="dxa"/>
            <w:tcBorders>
              <w:top w:val="single" w:sz="6" w:space="0" w:color="DDDDDD"/>
              <w:left w:val="single" w:sz="6" w:space="0" w:color="DDDDDD"/>
              <w:bottom w:val="single" w:sz="6" w:space="0" w:color="DDDDDD"/>
              <w:right w:val="single" w:sz="6" w:space="0" w:color="DDDDDD"/>
            </w:tcBorders>
            <w:hideMark/>
          </w:tcPr>
          <w:p w14:paraId="6D4A34A8" w14:textId="77777777" w:rsidR="00EA4AA4" w:rsidRPr="00EA4AA4" w:rsidRDefault="00EA4AA4" w:rsidP="00EA4AA4">
            <w:pPr>
              <w:pStyle w:val="NormalWeb"/>
              <w:shd w:val="clear" w:color="auto" w:fill="FFFFFF"/>
              <w:rPr>
                <w:rFonts w:ascii="var(--font-content)" w:hAnsi="var(--font-content)" w:cs="Noto Sans"/>
                <w:color w:val="333333"/>
                <w:sz w:val="22"/>
                <w:szCs w:val="22"/>
              </w:rPr>
            </w:pPr>
            <w:r w:rsidRPr="00EA4AA4">
              <w:rPr>
                <w:rFonts w:ascii="var(--font-content)" w:hAnsi="var(--font-content)" w:cs="Noto Sans"/>
                <w:color w:val="333333"/>
                <w:sz w:val="22"/>
                <w:szCs w:val="22"/>
              </w:rPr>
              <w:t>Den samme historie fortælles fra forskellige synsvinkler. Ses f.eks. i Durrells </w:t>
            </w:r>
            <w:r w:rsidRPr="00EA4AA4">
              <w:rPr>
                <w:rFonts w:ascii="var(--font-content)" w:hAnsi="var(--font-content)" w:cs="Noto Sans"/>
                <w:i/>
                <w:iCs/>
                <w:color w:val="333333"/>
                <w:sz w:val="22"/>
                <w:szCs w:val="22"/>
              </w:rPr>
              <w:t>Alexandria-kvartetten</w:t>
            </w:r>
            <w:r w:rsidRPr="00EA4AA4">
              <w:rPr>
                <w:rFonts w:ascii="var(--font-content)" w:hAnsi="var(--font-content)" w:cs="Noto Sans"/>
                <w:color w:val="333333"/>
                <w:sz w:val="22"/>
                <w:szCs w:val="22"/>
              </w:rPr>
              <w:t> (1960)</w:t>
            </w:r>
          </w:p>
        </w:tc>
      </w:tr>
    </w:tbl>
    <w:p w14:paraId="51BE22F3" w14:textId="77777777" w:rsidR="00EA4AA4" w:rsidRDefault="00EA4AA4" w:rsidP="00EA4AA4">
      <w:pPr>
        <w:pStyle w:val="NormalWeb"/>
        <w:shd w:val="clear" w:color="auto" w:fill="FFFFFF"/>
        <w:spacing w:before="0" w:beforeAutospacing="0" w:after="0" w:afterAutospacing="0"/>
        <w:rPr>
          <w:rFonts w:ascii="var(--font-content)" w:hAnsi="var(--font-content)" w:cs="Noto Sans"/>
          <w:color w:val="333333"/>
          <w:sz w:val="26"/>
          <w:szCs w:val="26"/>
        </w:rPr>
      </w:pPr>
    </w:p>
    <w:p w14:paraId="370D1B19" w14:textId="77777777" w:rsidR="00EA4AA4" w:rsidRDefault="00EA4AA4" w:rsidP="00EA4AA4">
      <w:pPr>
        <w:pStyle w:val="NormalWeb"/>
        <w:shd w:val="clear" w:color="auto" w:fill="FFFFFF"/>
        <w:spacing w:before="0" w:beforeAutospacing="0" w:after="0" w:afterAutospacing="0"/>
        <w:rPr>
          <w:rFonts w:ascii="var(--font-content)" w:hAnsi="var(--font-content)" w:cs="Noto Sans"/>
          <w:color w:val="333333"/>
          <w:sz w:val="26"/>
          <w:szCs w:val="26"/>
        </w:rPr>
      </w:pPr>
    </w:p>
    <w:p w14:paraId="708DCB16" w14:textId="77777777" w:rsidR="00EA4AA4" w:rsidRDefault="00EA4AA4" w:rsidP="00EA4AA4">
      <w:pPr>
        <w:pStyle w:val="NormalWeb"/>
        <w:shd w:val="clear" w:color="auto" w:fill="FFFFFF"/>
        <w:spacing w:before="0" w:beforeAutospacing="0" w:after="0" w:afterAutospacing="0"/>
        <w:rPr>
          <w:rFonts w:ascii="var(--font-content)" w:hAnsi="var(--font-content)" w:cs="Noto Sans"/>
          <w:color w:val="333333"/>
          <w:sz w:val="26"/>
          <w:szCs w:val="26"/>
        </w:rPr>
      </w:pPr>
    </w:p>
    <w:p w14:paraId="0C7380E8" w14:textId="6CA2ECD3" w:rsidR="00EA4AA4" w:rsidRPr="00EA4AA4" w:rsidRDefault="00EA4AA4" w:rsidP="00EA4AA4">
      <w:pPr>
        <w:pStyle w:val="NormalWeb"/>
        <w:shd w:val="clear" w:color="auto" w:fill="FFFFFF"/>
        <w:spacing w:before="0" w:beforeAutospacing="0" w:after="0" w:afterAutospacing="0"/>
        <w:rPr>
          <w:rFonts w:ascii="var(--font-content)" w:hAnsi="var(--font-content)" w:cs="Noto Sans"/>
          <w:b/>
          <w:bCs/>
          <w:color w:val="333333"/>
          <w:sz w:val="26"/>
          <w:szCs w:val="26"/>
        </w:rPr>
      </w:pPr>
      <w:r w:rsidRPr="00EA4AA4">
        <w:rPr>
          <w:rFonts w:ascii="var(--font-content)" w:hAnsi="var(--font-content)" w:cs="Noto Sans"/>
          <w:b/>
          <w:bCs/>
          <w:color w:val="333333"/>
          <w:sz w:val="26"/>
          <w:szCs w:val="26"/>
        </w:rPr>
        <w:lastRenderedPageBreak/>
        <w:t>Uddybning af kontraktmodellen</w:t>
      </w:r>
    </w:p>
    <w:p w14:paraId="2CC0A180" w14:textId="7EC5FC78" w:rsidR="00EA4AA4" w:rsidRDefault="00EA4AA4" w:rsidP="00EA4AA4">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Kompositionen i et eventyr følger formlen hjemme-ude-hjem. Man kan benytte den såkaldte </w:t>
      </w:r>
      <w:r>
        <w:rPr>
          <w:rStyle w:val="Fremhv"/>
          <w:rFonts w:ascii="var(--font-content)" w:hAnsi="var(--font-content)" w:cs="Noto Sans"/>
          <w:color w:val="333333"/>
          <w:sz w:val="26"/>
          <w:szCs w:val="26"/>
          <w:bdr w:val="none" w:sz="0" w:space="0" w:color="auto" w:frame="1"/>
        </w:rPr>
        <w:t>kontraktmodel </w:t>
      </w:r>
      <w:r>
        <w:rPr>
          <w:rFonts w:ascii="var(--font-content)" w:hAnsi="var(--font-content)" w:cs="Noto Sans"/>
          <w:color w:val="333333"/>
          <w:sz w:val="26"/>
          <w:szCs w:val="26"/>
        </w:rPr>
        <w:t>til at beskrive den typiske struktur i eventyr.</w:t>
      </w:r>
    </w:p>
    <w:p w14:paraId="750077C6" w14:textId="0D6CEE7A" w:rsidR="00EA4AA4" w:rsidRDefault="00EA4AA4" w:rsidP="00EA4AA4">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07283688" wp14:editId="61802DE1">
            <wp:extent cx="6120130" cy="133731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337310"/>
                    </a:xfrm>
                    <a:prstGeom prst="rect">
                      <a:avLst/>
                    </a:prstGeom>
                    <a:noFill/>
                    <a:ln>
                      <a:noFill/>
                    </a:ln>
                  </pic:spPr>
                </pic:pic>
              </a:graphicData>
            </a:graphic>
          </wp:inline>
        </w:drawing>
      </w:r>
    </w:p>
    <w:p w14:paraId="2DFFE3B0" w14:textId="77777777" w:rsidR="00EA4AA4" w:rsidRDefault="00EA4AA4" w:rsidP="00EA4AA4">
      <w:pPr>
        <w:pStyle w:val="ce-gallerycol"/>
        <w:shd w:val="clear" w:color="auto" w:fill="FFFFFF"/>
        <w:spacing w:before="0" w:beforeAutospacing="0" w:after="0" w:afterAutospacing="0" w:line="360" w:lineRule="atLeast"/>
        <w:ind w:left="720"/>
        <w:rPr>
          <w:rFonts w:ascii="Noto Sans" w:hAnsi="Noto Sans" w:cs="Noto Sans"/>
          <w:color w:val="555555"/>
          <w:sz w:val="23"/>
          <w:szCs w:val="23"/>
        </w:rPr>
      </w:pPr>
      <w:r>
        <w:rPr>
          <w:rStyle w:val="file-description"/>
          <w:rFonts w:ascii="Noto Sans" w:hAnsi="Noto Sans" w:cs="Noto Sans"/>
          <w:color w:val="555555"/>
          <w:sz w:val="23"/>
          <w:szCs w:val="23"/>
          <w:bdr w:val="none" w:sz="0" w:space="0" w:color="auto" w:frame="1"/>
        </w:rPr>
        <w:t>Kontraktmodellen.</w:t>
      </w:r>
    </w:p>
    <w:p w14:paraId="4CCE9B0C" w14:textId="77777777" w:rsidR="00EA4AA4" w:rsidRDefault="00EA4AA4" w:rsidP="00EA4AA4">
      <w:pPr>
        <w:pStyle w:val="ce-gallerycol"/>
        <w:shd w:val="clear" w:color="auto" w:fill="FFFFFF"/>
        <w:spacing w:before="0" w:beforeAutospacing="0" w:after="0" w:afterAutospacing="0" w:line="360" w:lineRule="atLeast"/>
        <w:ind w:left="720"/>
        <w:rPr>
          <w:rFonts w:ascii="Noto Sans" w:hAnsi="Noto Sans" w:cs="Noto Sans"/>
          <w:color w:val="555555"/>
          <w:sz w:val="23"/>
          <w:szCs w:val="23"/>
        </w:rPr>
      </w:pPr>
      <w:r>
        <w:rPr>
          <w:rStyle w:val="file-credits"/>
          <w:rFonts w:ascii="Noto Sans" w:hAnsi="Noto Sans" w:cs="Noto Sans"/>
          <w:color w:val="767676"/>
          <w:sz w:val="23"/>
          <w:szCs w:val="23"/>
          <w:bdr w:val="none" w:sz="0" w:space="0" w:color="auto" w:frame="1"/>
        </w:rPr>
        <w:t>Finn Brandt-Pedersen og Anni Rønn-Poulsen: Metodebogen - Analysemetoder til litterære tekster. Nøgleforlaget, 1980. s. 62.</w:t>
      </w:r>
    </w:p>
    <w:p w14:paraId="58ECF970" w14:textId="0CD47131" w:rsidR="005826C0" w:rsidRDefault="00EA4AA4">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I eventyrets første fase hersker der eller etableres der en social kontrakt eller orden. Så længe kontrakten efterleves, fungerer verden. Men der sker netop altid et brud på kontrakten i eventyret. Det er ofte hovedpersonen selv, der bryder den, fordi han kan se en umiddelbar fordel ved det, eller fordi han ikke kan lade være. Kontraktbruddet resulterer i en krise og en række negative konsekvenser, hvor hovedpersonen må lære at klare sig selv og ofte er alene i verden, borte fra hjemmet. Hovedpersonen må her igennem forskellige prøver, som regel tre, for at overvinde krisen. Heldigvis får han ofte hjælp fra én eller flere hjælpere undervejs. Hvis hovedpersonen overvinder krisen og kommer igennem de forskellige prøvelser, kan han etablere en ny kontrakt og dermed igen komme hjem og blive en del af den sociale orden.</w:t>
      </w:r>
    </w:p>
    <w:p w14:paraId="4D0724F0" w14:textId="2620F79C" w:rsidR="008B7AC0" w:rsidRDefault="008B7AC0">
      <w:pPr>
        <w:rPr>
          <w:rFonts w:ascii="Noto Sans" w:hAnsi="Noto Sans" w:cs="Noto Sans"/>
          <w:color w:val="333333"/>
          <w:sz w:val="26"/>
          <w:szCs w:val="26"/>
          <w:shd w:val="clear" w:color="auto" w:fill="FFFFFF"/>
        </w:rPr>
      </w:pPr>
    </w:p>
    <w:p w14:paraId="59C7EF24" w14:textId="662E1F41" w:rsidR="008B7AC0" w:rsidRDefault="008B7AC0">
      <w:pPr>
        <w:rPr>
          <w:rFonts w:ascii="Noto Sans" w:hAnsi="Noto Sans" w:cs="Noto Sans"/>
          <w:color w:val="333333"/>
          <w:sz w:val="26"/>
          <w:szCs w:val="26"/>
          <w:shd w:val="clear" w:color="auto" w:fill="FFFFFF"/>
        </w:rPr>
      </w:pPr>
    </w:p>
    <w:p w14:paraId="1271DF07" w14:textId="29545453" w:rsidR="008B7AC0" w:rsidRDefault="008B7AC0">
      <w:r>
        <w:rPr>
          <w:rFonts w:ascii="Noto Sans" w:hAnsi="Noto Sans" w:cs="Noto Sans"/>
          <w:color w:val="333333"/>
          <w:sz w:val="26"/>
          <w:szCs w:val="26"/>
          <w:shd w:val="clear" w:color="auto" w:fill="FFFFFF"/>
        </w:rPr>
        <w:t xml:space="preserve">Kilde: </w:t>
      </w:r>
      <w:r w:rsidR="00CC4008">
        <w:rPr>
          <w:rFonts w:ascii="Noto Sans" w:hAnsi="Noto Sans" w:cs="Noto Sans"/>
          <w:color w:val="333333"/>
          <w:sz w:val="26"/>
          <w:szCs w:val="26"/>
          <w:shd w:val="clear" w:color="auto" w:fill="FFFFFF"/>
        </w:rPr>
        <w:t>Håndbog til dansk – litteratur, sprog, medier. Dansklærerforeningen og Systime.</w:t>
      </w:r>
    </w:p>
    <w:sectPr w:rsidR="008B7A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D322D"/>
    <w:multiLevelType w:val="multilevel"/>
    <w:tmpl w:val="3CF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94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4"/>
    <w:rsid w:val="00151C83"/>
    <w:rsid w:val="00350F3B"/>
    <w:rsid w:val="005826C0"/>
    <w:rsid w:val="007F3A5D"/>
    <w:rsid w:val="008B7AC0"/>
    <w:rsid w:val="00CC4008"/>
    <w:rsid w:val="00EA4A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B9AC"/>
  <w15:docId w15:val="{4AE3E14B-A26C-42DC-82D7-C395EF27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A4AA4"/>
    <w:pPr>
      <w:spacing w:before="100" w:beforeAutospacing="1" w:after="100" w:afterAutospacing="1" w:line="240" w:lineRule="auto"/>
    </w:pPr>
    <w:rPr>
      <w:rFonts w:ascii="Times New Roman" w:eastAsia="Times New Roman" w:hAnsi="Times New Roman" w:cs="Times New Roman"/>
      <w:kern w:val="0"/>
      <w:sz w:val="24"/>
      <w:szCs w:val="24"/>
      <w:lang w:eastAsia="da-DK"/>
    </w:rPr>
  </w:style>
  <w:style w:type="character" w:styleId="Fremhv">
    <w:name w:val="Emphasis"/>
    <w:basedOn w:val="Standardskrifttypeiafsnit"/>
    <w:uiPriority w:val="20"/>
    <w:qFormat/>
    <w:rsid w:val="00EA4AA4"/>
    <w:rPr>
      <w:i/>
      <w:iCs/>
    </w:rPr>
  </w:style>
  <w:style w:type="paragraph" w:customStyle="1" w:styleId="ce-gallerycol">
    <w:name w:val="ce-gallery__col"/>
    <w:basedOn w:val="Normal"/>
    <w:rsid w:val="00EA4AA4"/>
    <w:pPr>
      <w:spacing w:before="100" w:beforeAutospacing="1" w:after="100" w:afterAutospacing="1" w:line="240" w:lineRule="auto"/>
    </w:pPr>
    <w:rPr>
      <w:rFonts w:ascii="Times New Roman" w:eastAsia="Times New Roman" w:hAnsi="Times New Roman" w:cs="Times New Roman"/>
      <w:kern w:val="0"/>
      <w:sz w:val="24"/>
      <w:szCs w:val="24"/>
      <w:lang w:eastAsia="da-DK"/>
    </w:rPr>
  </w:style>
  <w:style w:type="character" w:customStyle="1" w:styleId="file-description">
    <w:name w:val="file-description"/>
    <w:basedOn w:val="Standardskrifttypeiafsnit"/>
    <w:rsid w:val="00EA4AA4"/>
  </w:style>
  <w:style w:type="character" w:customStyle="1" w:styleId="file-credits">
    <w:name w:val="file-credits"/>
    <w:basedOn w:val="Standardskrifttypeiafsnit"/>
    <w:rsid w:val="00EA4AA4"/>
  </w:style>
  <w:style w:type="character" w:styleId="Hyperlink">
    <w:name w:val="Hyperlink"/>
    <w:basedOn w:val="Standardskrifttypeiafsnit"/>
    <w:uiPriority w:val="99"/>
    <w:unhideWhenUsed/>
    <w:rsid w:val="00EA4AA4"/>
    <w:rPr>
      <w:color w:val="0563C1" w:themeColor="hyperlink"/>
      <w:u w:val="single"/>
    </w:rPr>
  </w:style>
  <w:style w:type="character" w:styleId="Ulstomtale">
    <w:name w:val="Unresolved Mention"/>
    <w:basedOn w:val="Standardskrifttypeiafsnit"/>
    <w:uiPriority w:val="99"/>
    <w:semiHidden/>
    <w:unhideWhenUsed/>
    <w:rsid w:val="00EA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28737">
      <w:bodyDiv w:val="1"/>
      <w:marLeft w:val="0"/>
      <w:marRight w:val="0"/>
      <w:marTop w:val="0"/>
      <w:marBottom w:val="0"/>
      <w:divBdr>
        <w:top w:val="none" w:sz="0" w:space="0" w:color="auto"/>
        <w:left w:val="none" w:sz="0" w:space="0" w:color="auto"/>
        <w:bottom w:val="none" w:sz="0" w:space="0" w:color="auto"/>
        <w:right w:val="none" w:sz="0" w:space="0" w:color="auto"/>
      </w:divBdr>
      <w:divsChild>
        <w:div w:id="794518393">
          <w:marLeft w:val="0"/>
          <w:marRight w:val="0"/>
          <w:marTop w:val="0"/>
          <w:marBottom w:val="0"/>
          <w:divBdr>
            <w:top w:val="none" w:sz="0" w:space="0" w:color="DDDDDD"/>
            <w:left w:val="none" w:sz="0" w:space="0" w:color="DDDDDD"/>
            <w:bottom w:val="none" w:sz="0" w:space="0" w:color="DDDDDD"/>
            <w:right w:val="none" w:sz="0" w:space="0" w:color="DDDDDD"/>
          </w:divBdr>
          <w:divsChild>
            <w:div w:id="648024450">
              <w:marLeft w:val="0"/>
              <w:marRight w:val="0"/>
              <w:marTop w:val="0"/>
              <w:marBottom w:val="0"/>
              <w:divBdr>
                <w:top w:val="none" w:sz="0" w:space="0" w:color="DDDDDD"/>
                <w:left w:val="none" w:sz="0" w:space="0" w:color="DDDDDD"/>
                <w:bottom w:val="none" w:sz="0" w:space="0" w:color="DDDDDD"/>
                <w:right w:val="none" w:sz="0" w:space="0" w:color="DDDDDD"/>
              </w:divBdr>
              <w:divsChild>
                <w:div w:id="1967419875">
                  <w:marLeft w:val="0"/>
                  <w:marRight w:val="0"/>
                  <w:marTop w:val="0"/>
                  <w:marBottom w:val="0"/>
                  <w:divBdr>
                    <w:top w:val="none" w:sz="0" w:space="0" w:color="DDDDDD"/>
                    <w:left w:val="none" w:sz="0" w:space="0" w:color="DDDDDD"/>
                    <w:bottom w:val="none" w:sz="0" w:space="0" w:color="DDDDDD"/>
                    <w:right w:val="none" w:sz="0" w:space="0" w:color="DDDDDD"/>
                  </w:divBdr>
                  <w:divsChild>
                    <w:div w:id="1767921276">
                      <w:marLeft w:val="0"/>
                      <w:marRight w:val="0"/>
                      <w:marTop w:val="0"/>
                      <w:marBottom w:val="0"/>
                      <w:divBdr>
                        <w:top w:val="none" w:sz="0" w:space="0" w:color="DDDDDD"/>
                        <w:left w:val="none" w:sz="0" w:space="0" w:color="DDDDDD"/>
                        <w:bottom w:val="none" w:sz="0" w:space="0" w:color="DDDDDD"/>
                        <w:right w:val="none" w:sz="0" w:space="0" w:color="DDDDDD"/>
                      </w:divBdr>
                    </w:div>
                  </w:divsChild>
                </w:div>
                <w:div w:id="969243948">
                  <w:marLeft w:val="0"/>
                  <w:marRight w:val="0"/>
                  <w:marTop w:val="0"/>
                  <w:marBottom w:val="0"/>
                  <w:divBdr>
                    <w:top w:val="none" w:sz="0" w:space="0" w:color="DDDDDD"/>
                    <w:left w:val="none" w:sz="0" w:space="0" w:color="DDDDDD"/>
                    <w:bottom w:val="none" w:sz="0" w:space="0" w:color="DDDDDD"/>
                    <w:right w:val="none" w:sz="0" w:space="0" w:color="DDDDDD"/>
                  </w:divBdr>
                  <w:divsChild>
                    <w:div w:id="1477406159">
                      <w:marLeft w:val="0"/>
                      <w:marRight w:val="0"/>
                      <w:marTop w:val="0"/>
                      <w:marBottom w:val="0"/>
                      <w:divBdr>
                        <w:top w:val="none" w:sz="0" w:space="0" w:color="DDDDDD"/>
                        <w:left w:val="none" w:sz="0" w:space="0" w:color="DDDDDD"/>
                        <w:bottom w:val="none" w:sz="0" w:space="0" w:color="DDDDDD"/>
                        <w:right w:val="none" w:sz="0" w:space="0" w:color="DDDDDD"/>
                      </w:divBdr>
                      <w:divsChild>
                        <w:div w:id="866529776">
                          <w:marLeft w:val="0"/>
                          <w:marRight w:val="0"/>
                          <w:marTop w:val="0"/>
                          <w:marBottom w:val="120"/>
                          <w:divBdr>
                            <w:top w:val="none" w:sz="0" w:space="0" w:color="DDDDDD"/>
                            <w:left w:val="none" w:sz="0" w:space="0" w:color="DDDDDD"/>
                            <w:bottom w:val="none" w:sz="0" w:space="0" w:color="DDDDDD"/>
                            <w:right w:val="none" w:sz="0" w:space="0" w:color="DDDDDD"/>
                          </w:divBdr>
                          <w:divsChild>
                            <w:div w:id="13364412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 w:id="1326200231">
      <w:bodyDiv w:val="1"/>
      <w:marLeft w:val="0"/>
      <w:marRight w:val="0"/>
      <w:marTop w:val="0"/>
      <w:marBottom w:val="0"/>
      <w:divBdr>
        <w:top w:val="none" w:sz="0" w:space="0" w:color="auto"/>
        <w:left w:val="none" w:sz="0" w:space="0" w:color="auto"/>
        <w:bottom w:val="none" w:sz="0" w:space="0" w:color="auto"/>
        <w:right w:val="none" w:sz="0" w:space="0" w:color="auto"/>
      </w:divBdr>
      <w:divsChild>
        <w:div w:id="925580165">
          <w:marLeft w:val="0"/>
          <w:marRight w:val="0"/>
          <w:marTop w:val="0"/>
          <w:marBottom w:val="0"/>
          <w:divBdr>
            <w:top w:val="none" w:sz="0" w:space="0" w:color="DDDDDD"/>
            <w:left w:val="none" w:sz="0" w:space="0" w:color="DDDDDD"/>
            <w:bottom w:val="none" w:sz="0" w:space="0" w:color="DDDDDD"/>
            <w:right w:val="none" w:sz="0" w:space="0" w:color="DDDDDD"/>
          </w:divBdr>
          <w:divsChild>
            <w:div w:id="2516724">
              <w:marLeft w:val="0"/>
              <w:marRight w:val="0"/>
              <w:marTop w:val="0"/>
              <w:marBottom w:val="0"/>
              <w:divBdr>
                <w:top w:val="none" w:sz="0" w:space="0" w:color="DDDDDD"/>
                <w:left w:val="none" w:sz="0" w:space="0" w:color="DDDDDD"/>
                <w:bottom w:val="none" w:sz="0" w:space="0" w:color="DDDDDD"/>
                <w:right w:val="none" w:sz="0" w:space="0" w:color="DDDDDD"/>
              </w:divBdr>
              <w:divsChild>
                <w:div w:id="860897511">
                  <w:marLeft w:val="0"/>
                  <w:marRight w:val="0"/>
                  <w:marTop w:val="0"/>
                  <w:marBottom w:val="0"/>
                  <w:divBdr>
                    <w:top w:val="none" w:sz="0" w:space="0" w:color="DDDDDD"/>
                    <w:left w:val="none" w:sz="0" w:space="0" w:color="DDDDDD"/>
                    <w:bottom w:val="none" w:sz="0" w:space="0" w:color="DDDDDD"/>
                    <w:right w:val="none" w:sz="0" w:space="0" w:color="DDDDDD"/>
                  </w:divBdr>
                  <w:divsChild>
                    <w:div w:id="316804719">
                      <w:marLeft w:val="0"/>
                      <w:marRight w:val="0"/>
                      <w:marTop w:val="0"/>
                      <w:marBottom w:val="0"/>
                      <w:divBdr>
                        <w:top w:val="none" w:sz="0" w:space="0" w:color="DDDDDD"/>
                        <w:left w:val="none" w:sz="0" w:space="0" w:color="DDDDDD"/>
                        <w:bottom w:val="none" w:sz="0" w:space="0" w:color="DDDDDD"/>
                        <w:right w:val="none" w:sz="0" w:space="0" w:color="DDDDDD"/>
                      </w:divBdr>
                      <w:divsChild>
                        <w:div w:id="3928565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801069733">
          <w:marLeft w:val="0"/>
          <w:marRight w:val="0"/>
          <w:marTop w:val="0"/>
          <w:marBottom w:val="0"/>
          <w:divBdr>
            <w:top w:val="none" w:sz="0" w:space="0" w:color="DDDDDD"/>
            <w:left w:val="none" w:sz="0" w:space="0" w:color="DDDDDD"/>
            <w:bottom w:val="none" w:sz="0" w:space="0" w:color="DDDDDD"/>
            <w:right w:val="none" w:sz="0" w:space="0" w:color="DDDDDD"/>
          </w:divBdr>
          <w:divsChild>
            <w:div w:id="789128788">
              <w:marLeft w:val="0"/>
              <w:marRight w:val="0"/>
              <w:marTop w:val="0"/>
              <w:marBottom w:val="0"/>
              <w:divBdr>
                <w:top w:val="none" w:sz="0" w:space="0" w:color="DDDDDD"/>
                <w:left w:val="none" w:sz="0" w:space="0" w:color="DDDDDD"/>
                <w:bottom w:val="none" w:sz="0" w:space="0" w:color="DDDDDD"/>
                <w:right w:val="none" w:sz="0" w:space="0" w:color="DDDDDD"/>
              </w:divBdr>
              <w:divsChild>
                <w:div w:id="1445925997">
                  <w:marLeft w:val="0"/>
                  <w:marRight w:val="0"/>
                  <w:marTop w:val="0"/>
                  <w:marBottom w:val="0"/>
                  <w:divBdr>
                    <w:top w:val="none" w:sz="0" w:space="0" w:color="DDDDDD"/>
                    <w:left w:val="none" w:sz="0" w:space="0" w:color="DDDDDD"/>
                    <w:bottom w:val="none" w:sz="0" w:space="0" w:color="DDDDDD"/>
                    <w:right w:val="none" w:sz="0" w:space="0" w:color="DDDDDD"/>
                  </w:divBdr>
                  <w:divsChild>
                    <w:div w:id="51002655">
                      <w:marLeft w:val="0"/>
                      <w:marRight w:val="0"/>
                      <w:marTop w:val="0"/>
                      <w:marBottom w:val="0"/>
                      <w:divBdr>
                        <w:top w:val="none" w:sz="0" w:space="0" w:color="DDDDDD"/>
                        <w:left w:val="none" w:sz="0" w:space="0" w:color="DDDDDD"/>
                        <w:bottom w:val="none" w:sz="0" w:space="0" w:color="DDDDDD"/>
                        <w:right w:val="none" w:sz="0" w:space="0" w:color="DDDDDD"/>
                      </w:divBdr>
                      <w:divsChild>
                        <w:div w:id="1451776787">
                          <w:marLeft w:val="0"/>
                          <w:marRight w:val="0"/>
                          <w:marTop w:val="0"/>
                          <w:marBottom w:val="0"/>
                          <w:divBdr>
                            <w:top w:val="none" w:sz="0" w:space="0" w:color="DDDDDD"/>
                            <w:left w:val="none" w:sz="0" w:space="0" w:color="DDDDDD"/>
                            <w:bottom w:val="none" w:sz="0" w:space="0" w:color="DDDDDD"/>
                            <w:right w:val="none" w:sz="0" w:space="0" w:color="DDDDDD"/>
                          </w:divBdr>
                          <w:divsChild>
                            <w:div w:id="1126390359">
                              <w:marLeft w:val="0"/>
                              <w:marRight w:val="0"/>
                              <w:marTop w:val="0"/>
                              <w:marBottom w:val="0"/>
                              <w:divBdr>
                                <w:top w:val="none" w:sz="0" w:space="0" w:color="DDDDDD"/>
                                <w:left w:val="none" w:sz="0" w:space="0" w:color="DDDDDD"/>
                                <w:bottom w:val="none" w:sz="0" w:space="0" w:color="DDDDDD"/>
                                <w:right w:val="none" w:sz="0" w:space="0" w:color="DDDDDD"/>
                              </w:divBdr>
                              <w:divsChild>
                                <w:div w:id="113867603">
                                  <w:marLeft w:val="0"/>
                                  <w:marRight w:val="0"/>
                                  <w:marTop w:val="0"/>
                                  <w:marBottom w:val="0"/>
                                  <w:divBdr>
                                    <w:top w:val="none" w:sz="0" w:space="0" w:color="DDDDDD"/>
                                    <w:left w:val="none" w:sz="0" w:space="0" w:color="DDDDDD"/>
                                    <w:bottom w:val="none" w:sz="0" w:space="0" w:color="DDDDDD"/>
                                    <w:right w:val="none" w:sz="0" w:space="0" w:color="DDDDDD"/>
                                  </w:divBdr>
                                  <w:divsChild>
                                    <w:div w:id="215707219">
                                      <w:marLeft w:val="0"/>
                                      <w:marRight w:val="0"/>
                                      <w:marTop w:val="0"/>
                                      <w:marBottom w:val="0"/>
                                      <w:divBdr>
                                        <w:top w:val="none" w:sz="0" w:space="0" w:color="DDDDDD"/>
                                        <w:left w:val="none" w:sz="0" w:space="0" w:color="DDDDDD"/>
                                        <w:bottom w:val="none" w:sz="0" w:space="0" w:color="DDDDDD"/>
                                        <w:right w:val="none" w:sz="0" w:space="0" w:color="DDDDDD"/>
                                      </w:divBdr>
                                      <w:divsChild>
                                        <w:div w:id="1968966764">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14120286">
                                  <w:marLeft w:val="0"/>
                                  <w:marRight w:val="0"/>
                                  <w:marTop w:val="120"/>
                                  <w:marBottom w:val="0"/>
                                  <w:divBdr>
                                    <w:top w:val="none" w:sz="0" w:space="0" w:color="DDDDDD"/>
                                    <w:left w:val="none" w:sz="0" w:space="0" w:color="DDDDDD"/>
                                    <w:bottom w:val="none" w:sz="0" w:space="0" w:color="DDDDDD"/>
                                    <w:right w:val="none" w:sz="0" w:space="0" w:color="DDDDDD"/>
                                  </w:divBdr>
                                  <w:divsChild>
                                    <w:div w:id="1008336934">
                                      <w:marLeft w:val="0"/>
                                      <w:marRight w:val="0"/>
                                      <w:marTop w:val="0"/>
                                      <w:marBottom w:val="0"/>
                                      <w:divBdr>
                                        <w:top w:val="none" w:sz="0" w:space="0" w:color="DDDDDD"/>
                                        <w:left w:val="none" w:sz="0" w:space="0" w:color="DDDDDD"/>
                                        <w:bottom w:val="none" w:sz="0" w:space="0" w:color="DDDDDD"/>
                                        <w:right w:val="none" w:sz="0" w:space="0" w:color="DDDDDD"/>
                                      </w:divBdr>
                                    </w:div>
                                    <w:div w:id="85839490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699502904">
      <w:bodyDiv w:val="1"/>
      <w:marLeft w:val="0"/>
      <w:marRight w:val="0"/>
      <w:marTop w:val="0"/>
      <w:marBottom w:val="0"/>
      <w:divBdr>
        <w:top w:val="none" w:sz="0" w:space="0" w:color="auto"/>
        <w:left w:val="none" w:sz="0" w:space="0" w:color="auto"/>
        <w:bottom w:val="none" w:sz="0" w:space="0" w:color="auto"/>
        <w:right w:val="none" w:sz="0" w:space="0" w:color="auto"/>
      </w:divBdr>
      <w:divsChild>
        <w:div w:id="321276197">
          <w:marLeft w:val="0"/>
          <w:marRight w:val="0"/>
          <w:marTop w:val="0"/>
          <w:marBottom w:val="0"/>
          <w:divBdr>
            <w:top w:val="none" w:sz="0" w:space="0" w:color="DDDDDD"/>
            <w:left w:val="none" w:sz="0" w:space="0" w:color="DDDDDD"/>
            <w:bottom w:val="none" w:sz="0" w:space="0" w:color="DDDDDD"/>
            <w:right w:val="none" w:sz="0" w:space="0" w:color="DDDDDD"/>
          </w:divBdr>
          <w:divsChild>
            <w:div w:id="1203054605">
              <w:marLeft w:val="0"/>
              <w:marRight w:val="0"/>
              <w:marTop w:val="0"/>
              <w:marBottom w:val="0"/>
              <w:divBdr>
                <w:top w:val="none" w:sz="0" w:space="0" w:color="DDDDDD"/>
                <w:left w:val="none" w:sz="0" w:space="0" w:color="DDDDDD"/>
                <w:bottom w:val="none" w:sz="0" w:space="0" w:color="DDDDDD"/>
                <w:right w:val="none" w:sz="0" w:space="0" w:color="DDDDDD"/>
              </w:divBdr>
              <w:divsChild>
                <w:div w:id="597981301">
                  <w:marLeft w:val="0"/>
                  <w:marRight w:val="0"/>
                  <w:marTop w:val="0"/>
                  <w:marBottom w:val="0"/>
                  <w:divBdr>
                    <w:top w:val="none" w:sz="0" w:space="0" w:color="DDDDDD"/>
                    <w:left w:val="none" w:sz="0" w:space="0" w:color="DDDDDD"/>
                    <w:bottom w:val="none" w:sz="0" w:space="0" w:color="DDDDDD"/>
                    <w:right w:val="none" w:sz="0" w:space="0" w:color="DDDDDD"/>
                  </w:divBdr>
                  <w:divsChild>
                    <w:div w:id="1560508649">
                      <w:marLeft w:val="0"/>
                      <w:marRight w:val="0"/>
                      <w:marTop w:val="0"/>
                      <w:marBottom w:val="0"/>
                      <w:divBdr>
                        <w:top w:val="none" w:sz="0" w:space="0" w:color="DDDDDD"/>
                        <w:left w:val="none" w:sz="0" w:space="0" w:color="DDDDDD"/>
                        <w:bottom w:val="none" w:sz="0" w:space="0" w:color="DDDDDD"/>
                        <w:right w:val="none" w:sz="0" w:space="0" w:color="DDDDDD"/>
                      </w:divBdr>
                    </w:div>
                  </w:divsChild>
                </w:div>
                <w:div w:id="1801610966">
                  <w:marLeft w:val="0"/>
                  <w:marRight w:val="0"/>
                  <w:marTop w:val="0"/>
                  <w:marBottom w:val="0"/>
                  <w:divBdr>
                    <w:top w:val="none" w:sz="0" w:space="0" w:color="DDDDDD"/>
                    <w:left w:val="none" w:sz="0" w:space="0" w:color="DDDDDD"/>
                    <w:bottom w:val="none" w:sz="0" w:space="0" w:color="DDDDDD"/>
                    <w:right w:val="none" w:sz="0" w:space="0" w:color="DDDDDD"/>
                  </w:divBdr>
                  <w:divsChild>
                    <w:div w:id="1877232334">
                      <w:marLeft w:val="0"/>
                      <w:marRight w:val="0"/>
                      <w:marTop w:val="0"/>
                      <w:marBottom w:val="0"/>
                      <w:divBdr>
                        <w:top w:val="none" w:sz="0" w:space="0" w:color="DDDDDD"/>
                        <w:left w:val="none" w:sz="0" w:space="0" w:color="DDDDDD"/>
                        <w:bottom w:val="none" w:sz="0" w:space="0" w:color="DDDDDD"/>
                        <w:right w:val="none" w:sz="0" w:space="0" w:color="DDDDDD"/>
                      </w:divBdr>
                      <w:divsChild>
                        <w:div w:id="1504658920">
                          <w:marLeft w:val="0"/>
                          <w:marRight w:val="0"/>
                          <w:marTop w:val="0"/>
                          <w:marBottom w:val="120"/>
                          <w:divBdr>
                            <w:top w:val="none" w:sz="0" w:space="0" w:color="DDDDDD"/>
                            <w:left w:val="none" w:sz="0" w:space="0" w:color="DDDDDD"/>
                            <w:bottom w:val="none" w:sz="0" w:space="0" w:color="DDDDDD"/>
                            <w:right w:val="none" w:sz="0" w:space="0" w:color="DDDDDD"/>
                          </w:divBdr>
                          <w:divsChild>
                            <w:div w:id="171064011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3369</Characters>
  <Application>Microsoft Office Word</Application>
  <DocSecurity>0</DocSecurity>
  <Lines>28</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2026-04-27T10:15:00Z</dcterms:created>
  <dcterms:modified xsi:type="dcterms:W3CDTF">2026-04-27T10:15:00Z</dcterms:modified>
</cp:coreProperties>
</file>