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CB1A" w14:textId="424D9E5F" w:rsidR="007E7CAF" w:rsidRPr="00DD0A62" w:rsidRDefault="007E7CAF" w:rsidP="007E7CAF">
      <w:pPr>
        <w:rPr>
          <w:rFonts w:ascii="Cambria" w:hAnsi="Cambria"/>
        </w:rPr>
      </w:pPr>
      <w:r w:rsidRPr="00DD0A62">
        <w:rPr>
          <w:rFonts w:ascii="Cambria" w:hAnsi="Cambria"/>
        </w:rPr>
        <w:t>Brug af historien/historiebrug:</w:t>
      </w:r>
    </w:p>
    <w:p w14:paraId="752A755D" w14:textId="77777777" w:rsidR="007E7CAF" w:rsidRPr="00DD0A62" w:rsidRDefault="007E7CAF" w:rsidP="007E7CAF">
      <w:pPr>
        <w:jc w:val="center"/>
        <w:rPr>
          <w:rFonts w:ascii="Cambria" w:hAnsi="Cambria"/>
          <w:b/>
          <w:bCs/>
        </w:rPr>
      </w:pPr>
      <w:r w:rsidRPr="00DD0A62">
        <w:rPr>
          <w:rFonts w:ascii="Cambria" w:hAnsi="Cambria"/>
          <w:b/>
          <w:bCs/>
          <w:i/>
          <w:iCs/>
        </w:rPr>
        <w:t>Personer og gruppers brug af fortællinger og forestillinger om fortid</w:t>
      </w:r>
    </w:p>
    <w:p w14:paraId="528D0861" w14:textId="514BDAE7" w:rsidR="00822CC3" w:rsidRPr="00DD0A62" w:rsidRDefault="007E7CAF" w:rsidP="007E7CAF">
      <w:pPr>
        <w:rPr>
          <w:rFonts w:ascii="Cambria" w:hAnsi="Cambria"/>
        </w:rPr>
      </w:pPr>
      <w:r w:rsidRPr="00DD0A62">
        <w:rPr>
          <w:rFonts w:ascii="Cambria" w:hAnsi="Cambria"/>
        </w:rPr>
        <w:t xml:space="preserve">(definition fra Hassing og </w:t>
      </w:r>
      <w:proofErr w:type="spellStart"/>
      <w:r w:rsidRPr="00DD0A62">
        <w:rPr>
          <w:rFonts w:ascii="Cambria" w:hAnsi="Cambria"/>
        </w:rPr>
        <w:t>Vollmond</w:t>
      </w:r>
      <w:proofErr w:type="spellEnd"/>
      <w:r w:rsidRPr="00DD0A62">
        <w:rPr>
          <w:rFonts w:ascii="Cambria" w:hAnsi="Cambria"/>
        </w:rPr>
        <w:t>: Fra fortid til historie, Columbus)</w:t>
      </w:r>
      <w:r w:rsidR="00F7009C">
        <w:rPr>
          <w:rFonts w:ascii="Cambria" w:hAnsi="Cambria"/>
        </w:rPr>
        <w:t xml:space="preserve"> </w:t>
      </w:r>
    </w:p>
    <w:p w14:paraId="33181AD1" w14:textId="46197BE3" w:rsidR="007E7CAF" w:rsidRPr="00DD0A62" w:rsidRDefault="007E7CAF" w:rsidP="007E7CAF">
      <w:pPr>
        <w:rPr>
          <w:rFonts w:ascii="Cambria" w:hAnsi="Cambria" w:cs="Arial"/>
          <w:color w:val="333333"/>
          <w:sz w:val="19"/>
          <w:szCs w:val="19"/>
          <w:shd w:val="clear" w:color="auto" w:fill="FFFFFF"/>
        </w:rPr>
      </w:pPr>
      <w:r w:rsidRPr="00DD0A62">
        <w:rPr>
          <w:rFonts w:ascii="Cambria" w:hAnsi="Cambria" w:cs="Arial"/>
          <w:color w:val="333333"/>
          <w:sz w:val="19"/>
          <w:szCs w:val="19"/>
          <w:shd w:val="clear" w:color="auto" w:fill="FFFFFF"/>
        </w:rPr>
        <w:t>Den svenske historiker Klas-Göran Karlsson har lavet en </w:t>
      </w:r>
      <w:r w:rsidRPr="00DD0A62">
        <w:rPr>
          <w:rStyle w:val="Strk"/>
          <w:rFonts w:ascii="Cambria" w:hAnsi="Cambria" w:cs="Arial"/>
          <w:color w:val="333333"/>
          <w:sz w:val="19"/>
          <w:szCs w:val="19"/>
          <w:shd w:val="clear" w:color="auto" w:fill="FFFFFF"/>
        </w:rPr>
        <w:t>historiebrugstypologi</w:t>
      </w:r>
      <w:r w:rsidRPr="00DD0A62">
        <w:rPr>
          <w:rFonts w:ascii="Cambria" w:hAnsi="Cambria" w:cs="Arial"/>
          <w:color w:val="333333"/>
          <w:sz w:val="19"/>
          <w:szCs w:val="19"/>
          <w:shd w:val="clear" w:color="auto" w:fill="FFFFFF"/>
        </w:rPr>
        <w:t>, som kan ses i en lettere udvidet og bearbejdet version nedenfor. Typologien kan anvendes som brugbart værktøj, når man skal identificere forskellige former for historiebrug. Typologien kategoriserer de forskellige former for historiebrug med fokus på </w:t>
      </w:r>
      <w:r w:rsidRPr="00DD0A62">
        <w:rPr>
          <w:rStyle w:val="Fremhv"/>
          <w:rFonts w:ascii="Cambria" w:hAnsi="Cambria" w:cs="Arial"/>
          <w:color w:val="333333"/>
          <w:sz w:val="19"/>
          <w:szCs w:val="19"/>
          <w:shd w:val="clear" w:color="auto" w:fill="FFFFFF"/>
        </w:rPr>
        <w:t>hvem</w:t>
      </w:r>
      <w:r w:rsidRPr="00DD0A62">
        <w:rPr>
          <w:rFonts w:ascii="Cambria" w:hAnsi="Cambria" w:cs="Arial"/>
          <w:color w:val="333333"/>
          <w:sz w:val="19"/>
          <w:szCs w:val="19"/>
          <w:shd w:val="clear" w:color="auto" w:fill="FFFFFF"/>
        </w:rPr>
        <w:t>, der bruger historien, </w:t>
      </w:r>
      <w:r w:rsidRPr="00DD0A62">
        <w:rPr>
          <w:rStyle w:val="Fremhv"/>
          <w:rFonts w:ascii="Cambria" w:hAnsi="Cambria" w:cs="Arial"/>
          <w:color w:val="333333"/>
          <w:sz w:val="19"/>
          <w:szCs w:val="19"/>
          <w:shd w:val="clear" w:color="auto" w:fill="FFFFFF"/>
        </w:rPr>
        <w:t>hvad</w:t>
      </w:r>
      <w:r w:rsidRPr="00DD0A62">
        <w:rPr>
          <w:rFonts w:ascii="Cambria" w:hAnsi="Cambria" w:cs="Arial"/>
          <w:color w:val="333333"/>
          <w:sz w:val="19"/>
          <w:szCs w:val="19"/>
          <w:shd w:val="clear" w:color="auto" w:fill="FFFFFF"/>
        </w:rPr>
        <w:t> der ligger til grund for brugen af historie og </w:t>
      </w:r>
      <w:r w:rsidRPr="00DD0A62">
        <w:rPr>
          <w:rStyle w:val="Fremhv"/>
          <w:rFonts w:ascii="Cambria" w:hAnsi="Cambria" w:cs="Arial"/>
          <w:color w:val="333333"/>
          <w:sz w:val="19"/>
          <w:szCs w:val="19"/>
          <w:shd w:val="clear" w:color="auto" w:fill="FFFFFF"/>
        </w:rPr>
        <w:t>hvordan</w:t>
      </w:r>
      <w:r w:rsidRPr="00DD0A62">
        <w:rPr>
          <w:rFonts w:ascii="Cambria" w:hAnsi="Cambria" w:cs="Arial"/>
          <w:color w:val="333333"/>
          <w:sz w:val="19"/>
          <w:szCs w:val="19"/>
          <w:shd w:val="clear" w:color="auto" w:fill="FFFFFF"/>
        </w:rPr>
        <w:t> den bruges. Karlsons historiebrugstypologi giver med andre ord et overblik over, hvordan fortiden fortolkes, fremstilles og bruges af forskellige aktører til at skabe en bestemt </w:t>
      </w:r>
      <w:r w:rsidRPr="00DD0A62">
        <w:rPr>
          <w:rStyle w:val="glossary-term"/>
          <w:rFonts w:ascii="Cambria" w:hAnsi="Cambria" w:cs="Arial"/>
          <w:color w:val="333333"/>
          <w:sz w:val="19"/>
          <w:szCs w:val="19"/>
          <w:shd w:val="clear" w:color="auto" w:fill="FFFFFF"/>
        </w:rPr>
        <w:t>historiebevidsthed</w:t>
      </w:r>
      <w:r w:rsidRPr="00DD0A62">
        <w:rPr>
          <w:rFonts w:ascii="Cambria" w:hAnsi="Cambria" w:cs="Arial"/>
          <w:color w:val="333333"/>
          <w:sz w:val="19"/>
          <w:szCs w:val="19"/>
          <w:shd w:val="clear" w:color="auto" w:fill="FFFFFF"/>
        </w:rPr>
        <w:t>.</w:t>
      </w:r>
    </w:p>
    <w:p w14:paraId="3EC982A4" w14:textId="77777777" w:rsidR="007E7CAF" w:rsidRPr="00DD0A62" w:rsidRDefault="007E7CAF" w:rsidP="007E7CAF">
      <w:pPr>
        <w:shd w:val="clear" w:color="auto" w:fill="E6E6E6"/>
        <w:spacing w:before="100" w:beforeAutospacing="1" w:after="195" w:line="240" w:lineRule="auto"/>
        <w:outlineLvl w:val="0"/>
        <w:rPr>
          <w:rFonts w:ascii="Cambria" w:eastAsia="Times New Roman" w:hAnsi="Cambria" w:cs="Arial"/>
          <w:b/>
          <w:bCs/>
          <w:caps/>
          <w:color w:val="333333"/>
          <w:kern w:val="36"/>
          <w:sz w:val="18"/>
          <w:szCs w:val="18"/>
          <w:lang w:eastAsia="da-DK"/>
        </w:rPr>
      </w:pPr>
      <w:r w:rsidRPr="00DD0A62">
        <w:rPr>
          <w:rFonts w:ascii="Cambria" w:eastAsia="Times New Roman" w:hAnsi="Cambria" w:cs="Arial"/>
          <w:b/>
          <w:bCs/>
          <w:caps/>
          <w:color w:val="333333"/>
          <w:kern w:val="36"/>
          <w:sz w:val="18"/>
          <w:szCs w:val="18"/>
          <w:lang w:eastAsia="da-DK"/>
        </w:rPr>
        <w:t>HISTORIEBRUGSTYPOLOGI </w:t>
      </w:r>
      <w:r w:rsidRPr="00DD0A62">
        <w:rPr>
          <w:rFonts w:ascii="Cambria" w:eastAsia="Times New Roman" w:hAnsi="Cambria" w:cs="Arial"/>
          <w:caps/>
          <w:color w:val="B2B2B2"/>
          <w:kern w:val="36"/>
          <w:sz w:val="12"/>
          <w:szCs w:val="12"/>
          <w:bdr w:val="single" w:sz="6" w:space="0" w:color="DADADA" w:frame="1"/>
          <w:shd w:val="clear" w:color="auto" w:fill="FFFFFF"/>
          <w:lang w:eastAsia="da-DK"/>
        </w:rPr>
        <w:t>DEL</w:t>
      </w:r>
    </w:p>
    <w:tbl>
      <w:tblPr>
        <w:tblW w:w="0" w:type="auto"/>
        <w:tblCellMar>
          <w:top w:w="15" w:type="dxa"/>
          <w:left w:w="15" w:type="dxa"/>
          <w:bottom w:w="15" w:type="dxa"/>
          <w:right w:w="15" w:type="dxa"/>
        </w:tblCellMar>
        <w:tblLook w:val="04A0" w:firstRow="1" w:lastRow="0" w:firstColumn="1" w:lastColumn="0" w:noHBand="0" w:noVBand="1"/>
      </w:tblPr>
      <w:tblGrid>
        <w:gridCol w:w="2411"/>
        <w:gridCol w:w="4859"/>
        <w:gridCol w:w="2460"/>
      </w:tblGrid>
      <w:tr w:rsidR="007E7CAF" w:rsidRPr="00DD0A62" w14:paraId="1C776C24" w14:textId="77777777" w:rsidTr="006E3BC5">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53A5A8B1" w14:textId="77777777" w:rsidR="007E7CAF" w:rsidRPr="00DD0A62" w:rsidRDefault="007E7CAF" w:rsidP="006E3BC5">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Form</w:t>
            </w:r>
          </w:p>
        </w:tc>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15456359" w14:textId="77777777" w:rsidR="007E7CAF" w:rsidRPr="00DD0A62" w:rsidRDefault="007E7CAF" w:rsidP="006E3BC5">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Definition</w:t>
            </w:r>
          </w:p>
        </w:tc>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22010707" w14:textId="77777777" w:rsidR="007E7CAF" w:rsidRPr="00DD0A62" w:rsidRDefault="007E7CAF" w:rsidP="006E3BC5">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Brugere</w:t>
            </w:r>
          </w:p>
        </w:tc>
      </w:tr>
      <w:tr w:rsidR="007E7CAF" w:rsidRPr="00DD0A62" w14:paraId="15D99949" w14:textId="77777777" w:rsidTr="006E3BC5">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2C7C5754"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Videnskabelig historiebrug</w:t>
            </w:r>
          </w:p>
          <w:p w14:paraId="392EF879" w14:textId="77777777" w:rsidR="007E7CAF" w:rsidRPr="00DD0A62" w:rsidRDefault="007E7CAF" w:rsidP="007E7CAF">
            <w:pPr>
              <w:numPr>
                <w:ilvl w:val="0"/>
                <w:numId w:val="1"/>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Metodisk-kritisk</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59FF1452"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Den videnskabelige historiebrug omhandler historiefagets arbejdsformer og formidling, der er baseret på et </w:t>
            </w:r>
            <w:r w:rsidRPr="00DD0A62">
              <w:rPr>
                <w:rFonts w:ascii="Cambria" w:eastAsia="Times New Roman" w:hAnsi="Cambria" w:cs="Times New Roman"/>
                <w:b/>
                <w:bCs/>
                <w:sz w:val="16"/>
                <w:szCs w:val="16"/>
                <w:lang w:eastAsia="da-DK"/>
              </w:rPr>
              <w:t>metodisk-kritisk</w:t>
            </w:r>
            <w:r w:rsidRPr="00DD0A62">
              <w:rPr>
                <w:rFonts w:ascii="Cambria" w:eastAsia="Times New Roman" w:hAnsi="Cambria" w:cs="Times New Roman"/>
                <w:sz w:val="16"/>
                <w:szCs w:val="16"/>
                <w:lang w:eastAsia="da-DK"/>
              </w:rPr>
              <w:t> grundlag – fx som den kommer til udtryk i faghistoriske fremstillinger eller i forskellige undervisningssammenhænge.</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29BB69E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Historikere, historielærere, gymnasieelever</w:t>
            </w:r>
          </w:p>
        </w:tc>
      </w:tr>
      <w:tr w:rsidR="007E7CAF" w:rsidRPr="00DD0A62" w14:paraId="12667B9B" w14:textId="77777777" w:rsidTr="006E3BC5">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57DA300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Eksistentiel historiebrug</w:t>
            </w:r>
          </w:p>
          <w:p w14:paraId="68706FD3" w14:textId="77777777" w:rsidR="007E7CAF" w:rsidRPr="00DD0A62" w:rsidRDefault="007E7CAF" w:rsidP="007E7CAF">
            <w:pPr>
              <w:numPr>
                <w:ilvl w:val="0"/>
                <w:numId w:val="2"/>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Identitetsskabende</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3C7EED36"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Den </w:t>
            </w:r>
            <w:r w:rsidRPr="00DD0A62">
              <w:rPr>
                <w:rFonts w:ascii="Cambria" w:eastAsia="Times New Roman" w:hAnsi="Cambria" w:cs="Times New Roman"/>
                <w:b/>
                <w:bCs/>
                <w:sz w:val="16"/>
                <w:szCs w:val="16"/>
                <w:lang w:eastAsia="da-DK"/>
              </w:rPr>
              <w:t>eksistentielle</w:t>
            </w:r>
            <w:r w:rsidRPr="00DD0A62">
              <w:rPr>
                <w:rFonts w:ascii="Cambria" w:eastAsia="Times New Roman" w:hAnsi="Cambria" w:cs="Times New Roman"/>
                <w:sz w:val="16"/>
                <w:szCs w:val="16"/>
                <w:lang w:eastAsia="da-DK"/>
              </w:rPr>
              <w:t> historiebrug kommer til udtryk, når individer eller grupper bruger historie til at skabe fortællinger om dem selv eller til at etablere kollektive erindringsfællesskaber. Eksistentiel historiebrug omhandler med andre ord menneskers forsøg på at forstå, hvem de selv er, og hvad de er en del af. Denne </w:t>
            </w:r>
            <w:r w:rsidRPr="00DD0A62">
              <w:rPr>
                <w:rFonts w:ascii="Cambria" w:eastAsia="Times New Roman" w:hAnsi="Cambria" w:cs="Times New Roman"/>
                <w:b/>
                <w:bCs/>
                <w:sz w:val="16"/>
                <w:szCs w:val="16"/>
                <w:lang w:eastAsia="da-DK"/>
              </w:rPr>
              <w:t>identitetsskabende</w:t>
            </w:r>
            <w:r w:rsidRPr="00DD0A62">
              <w:rPr>
                <w:rFonts w:ascii="Cambria" w:eastAsia="Times New Roman" w:hAnsi="Cambria" w:cs="Times New Roman"/>
                <w:sz w:val="16"/>
                <w:szCs w:val="16"/>
                <w:lang w:eastAsia="da-DK"/>
              </w:rPr>
              <w:t> form for historiebrug er derfor relateret til begrebet historiebevidsthed og forholdet mellem det historieskabte og historieskabende.</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C5EF83F"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Alle mennesker, både individuelt og kollektivt</w:t>
            </w:r>
          </w:p>
        </w:tc>
      </w:tr>
      <w:tr w:rsidR="007E7CAF" w:rsidRPr="00DD0A62" w14:paraId="2E4496F4" w14:textId="77777777" w:rsidTr="006E3BC5">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00A0A063"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Politisk historiebrug</w:t>
            </w:r>
          </w:p>
          <w:p w14:paraId="2D35967C" w14:textId="77777777" w:rsidR="007E7CAF" w:rsidRPr="00DD0A62" w:rsidRDefault="007E7CAF" w:rsidP="006E3BC5">
            <w:pPr>
              <w:spacing w:before="120" w:after="0" w:line="240" w:lineRule="auto"/>
              <w:rPr>
                <w:rFonts w:ascii="Cambria" w:eastAsia="Times New Roman" w:hAnsi="Cambria" w:cs="Times New Roman"/>
                <w:sz w:val="16"/>
                <w:szCs w:val="16"/>
                <w:lang w:eastAsia="da-DK"/>
              </w:rPr>
            </w:pPr>
            <w:proofErr w:type="gramStart"/>
            <w:r w:rsidRPr="00DD0A62">
              <w:rPr>
                <w:rFonts w:ascii="Cambria" w:eastAsia="Times New Roman" w:hAnsi="Cambria" w:cs="Times New Roman"/>
                <w:i/>
                <w:iCs/>
                <w:sz w:val="16"/>
                <w:szCs w:val="16"/>
                <w:lang w:eastAsia="da-DK"/>
              </w:rPr>
              <w:t>Underkategorier </w:t>
            </w:r>
            <w:r w:rsidRPr="00DD0A62">
              <w:rPr>
                <w:rFonts w:ascii="Cambria" w:eastAsia="Times New Roman" w:hAnsi="Cambria" w:cs="Times New Roman"/>
                <w:sz w:val="16"/>
                <w:szCs w:val="16"/>
                <w:lang w:eastAsia="da-DK"/>
              </w:rPr>
              <w:t>:</w:t>
            </w:r>
            <w:proofErr w:type="gramEnd"/>
          </w:p>
          <w:p w14:paraId="7BDAE671" w14:textId="77777777" w:rsidR="007E7CAF" w:rsidRPr="00DD0A62" w:rsidRDefault="007E7CAF" w:rsidP="007E7CAF">
            <w:pPr>
              <w:numPr>
                <w:ilvl w:val="0"/>
                <w:numId w:val="3"/>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Legitimerende</w:t>
            </w:r>
          </w:p>
          <w:p w14:paraId="17C768C3" w14:textId="77777777" w:rsidR="007E7CAF" w:rsidRPr="00DD0A62" w:rsidRDefault="007E7CAF" w:rsidP="007E7CAF">
            <w:pPr>
              <w:numPr>
                <w:ilvl w:val="0"/>
                <w:numId w:val="3"/>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Moraliserende</w:t>
            </w:r>
          </w:p>
          <w:p w14:paraId="580ACBB1" w14:textId="77777777" w:rsidR="007E7CAF" w:rsidRPr="00DD0A62" w:rsidRDefault="007E7CAF" w:rsidP="007E7CAF">
            <w:pPr>
              <w:numPr>
                <w:ilvl w:val="0"/>
                <w:numId w:val="3"/>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Ideologisk</w:t>
            </w:r>
          </w:p>
          <w:p w14:paraId="313530C0" w14:textId="77777777" w:rsidR="007E7CAF" w:rsidRPr="00DD0A62" w:rsidRDefault="007E7CAF" w:rsidP="007E7CAF">
            <w:pPr>
              <w:numPr>
                <w:ilvl w:val="0"/>
                <w:numId w:val="3"/>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Politisk-pædagogisk</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09BFB5B"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Politisk historiebrug kan omhandle flere forskellige former for historiebrug. Der kan fx være tale om en </w:t>
            </w:r>
            <w:r w:rsidRPr="00DD0A62">
              <w:rPr>
                <w:rFonts w:ascii="Cambria" w:eastAsia="Times New Roman" w:hAnsi="Cambria" w:cs="Times New Roman"/>
                <w:b/>
                <w:bCs/>
                <w:sz w:val="16"/>
                <w:szCs w:val="16"/>
                <w:lang w:eastAsia="da-DK"/>
              </w:rPr>
              <w:t>legitimerende</w:t>
            </w:r>
            <w:r w:rsidRPr="00DD0A62">
              <w:rPr>
                <w:rFonts w:ascii="Cambria" w:eastAsia="Times New Roman" w:hAnsi="Cambria" w:cs="Times New Roman"/>
                <w:sz w:val="16"/>
                <w:szCs w:val="16"/>
                <w:lang w:eastAsia="da-DK"/>
              </w:rPr>
              <w:t> form, hvor historien bruges til at retfærdiggøre politiske beslutninger. Der kan også være tale om en </w:t>
            </w:r>
            <w:r w:rsidRPr="00DD0A62">
              <w:rPr>
                <w:rFonts w:ascii="Cambria" w:eastAsia="Times New Roman" w:hAnsi="Cambria" w:cs="Times New Roman"/>
                <w:b/>
                <w:bCs/>
                <w:sz w:val="16"/>
                <w:szCs w:val="16"/>
                <w:lang w:eastAsia="da-DK"/>
              </w:rPr>
              <w:t>moraliserende </w:t>
            </w:r>
            <w:r w:rsidRPr="00DD0A62">
              <w:rPr>
                <w:rFonts w:ascii="Cambria" w:eastAsia="Times New Roman" w:hAnsi="Cambria" w:cs="Times New Roman"/>
                <w:sz w:val="16"/>
                <w:szCs w:val="16"/>
                <w:lang w:eastAsia="da-DK"/>
              </w:rPr>
              <w:t>historiebrug, hvor historien bruges til at fordømme, kritisere eller latterliggøre andre tiders handlinger ud fra nutidens moralske værdier. En tredje variant findes i en </w:t>
            </w:r>
            <w:r w:rsidRPr="00DD0A62">
              <w:rPr>
                <w:rFonts w:ascii="Cambria" w:eastAsia="Times New Roman" w:hAnsi="Cambria" w:cs="Times New Roman"/>
                <w:b/>
                <w:bCs/>
                <w:sz w:val="16"/>
                <w:szCs w:val="16"/>
                <w:lang w:eastAsia="da-DK"/>
              </w:rPr>
              <w:t>ideologisk</w:t>
            </w:r>
            <w:r w:rsidRPr="00DD0A62">
              <w:rPr>
                <w:rFonts w:ascii="Cambria" w:eastAsia="Times New Roman" w:hAnsi="Cambria" w:cs="Times New Roman"/>
                <w:sz w:val="16"/>
                <w:szCs w:val="16"/>
                <w:lang w:eastAsia="da-DK"/>
              </w:rPr>
              <w:t> historiebrug, hvor historien bruges til at retfærdiggøre bestemte styreformer, værdier, kulturer, magtudøvelser eller ideologiske opfattelser. Endelig kan der også være tale om en </w:t>
            </w:r>
            <w:r w:rsidRPr="00DD0A62">
              <w:rPr>
                <w:rFonts w:ascii="Cambria" w:eastAsia="Times New Roman" w:hAnsi="Cambria" w:cs="Times New Roman"/>
                <w:b/>
                <w:bCs/>
                <w:sz w:val="16"/>
                <w:szCs w:val="16"/>
                <w:lang w:eastAsia="da-DK"/>
              </w:rPr>
              <w:t>politisk-pædagogisk</w:t>
            </w:r>
            <w:r w:rsidRPr="00DD0A62">
              <w:rPr>
                <w:rFonts w:ascii="Cambria" w:eastAsia="Times New Roman" w:hAnsi="Cambria" w:cs="Times New Roman"/>
                <w:sz w:val="16"/>
                <w:szCs w:val="16"/>
                <w:lang w:eastAsia="da-DK"/>
              </w:rPr>
              <w:t> historiebrug, hvor historien bruges til at opdrage, retfærdiggøre eller kritisere holdninger eller handlinger ud fra bestemte udlægninger eller vinklinger af fortidige hændelser.</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5B06C872"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Politikere, intellektuelle, veluddannede, aktivister, samfundseliter, historikere</w:t>
            </w:r>
          </w:p>
        </w:tc>
      </w:tr>
      <w:tr w:rsidR="007E7CAF" w:rsidRPr="00DD0A62" w14:paraId="054B944B" w14:textId="77777777" w:rsidTr="006E3BC5">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185FEACE"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Ikke-brug</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32BFA459"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Ikke-brug af historie kommer til udtryk, når bestemte begivenheder, spor, mindesmærker, omstændigheder, beslutninger, holdninger eller personer bevidst </w:t>
            </w:r>
            <w:r w:rsidRPr="00DD0A62">
              <w:rPr>
                <w:rFonts w:ascii="Cambria" w:eastAsia="Times New Roman" w:hAnsi="Cambria" w:cs="Times New Roman"/>
                <w:b/>
                <w:bCs/>
                <w:sz w:val="16"/>
                <w:szCs w:val="16"/>
                <w:lang w:eastAsia="da-DK"/>
              </w:rPr>
              <w:t>fortrænges</w:t>
            </w:r>
            <w:r w:rsidRPr="00DD0A62">
              <w:rPr>
                <w:rFonts w:ascii="Cambria" w:eastAsia="Times New Roman" w:hAnsi="Cambria" w:cs="Times New Roman"/>
                <w:sz w:val="16"/>
                <w:szCs w:val="16"/>
                <w:lang w:eastAsia="da-DK"/>
              </w:rPr>
              <w:t>, </w:t>
            </w:r>
            <w:r w:rsidRPr="00DD0A62">
              <w:rPr>
                <w:rFonts w:ascii="Cambria" w:eastAsia="Times New Roman" w:hAnsi="Cambria" w:cs="Times New Roman"/>
                <w:b/>
                <w:bCs/>
                <w:sz w:val="16"/>
                <w:szCs w:val="16"/>
                <w:lang w:eastAsia="da-DK"/>
              </w:rPr>
              <w:t>udslettes</w:t>
            </w:r>
            <w:r w:rsidRPr="00DD0A62">
              <w:rPr>
                <w:rFonts w:ascii="Cambria" w:eastAsia="Times New Roman" w:hAnsi="Cambria" w:cs="Times New Roman"/>
                <w:sz w:val="16"/>
                <w:szCs w:val="16"/>
                <w:lang w:eastAsia="da-DK"/>
              </w:rPr>
              <w:t> eller </w:t>
            </w:r>
            <w:r w:rsidRPr="00DD0A62">
              <w:rPr>
                <w:rFonts w:ascii="Cambria" w:eastAsia="Times New Roman" w:hAnsi="Cambria" w:cs="Times New Roman"/>
                <w:b/>
                <w:bCs/>
                <w:sz w:val="16"/>
                <w:szCs w:val="16"/>
                <w:lang w:eastAsia="da-DK"/>
              </w:rPr>
              <w:t>udelades</w:t>
            </w:r>
            <w:r w:rsidRPr="00DD0A62">
              <w:rPr>
                <w:rFonts w:ascii="Cambria" w:eastAsia="Times New Roman" w:hAnsi="Cambria" w:cs="Times New Roman"/>
                <w:sz w:val="16"/>
                <w:szCs w:val="16"/>
                <w:lang w:eastAsia="da-DK"/>
              </w:rPr>
              <w:t> i fortællinger om fortiden.</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7D10B70E"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Intellektuelle, politikere, veluddannede, aktivister, samfundseliter, historikere, film- og computerspilsproducenter</w:t>
            </w:r>
          </w:p>
        </w:tc>
      </w:tr>
      <w:tr w:rsidR="007E7CAF" w:rsidRPr="00DD0A62" w14:paraId="7D3E7550" w14:textId="77777777" w:rsidTr="006E3BC5">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3F84ACA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Historiemisbrug</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5FDF7CD8"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Historiemisbrug omhandler det bevidste forsøg på at forfalske og fordreje fortiden mod bedre vidende – fx når historie bruges som argument på uredelig vis. Af eksempler på historiemisbrug kan fx nævnes holocaustbenægtelse, fake news, fotomanipulationer eller Breiviks historiemisbrug.</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1BC55AF0"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Intellektuelle, politikere, aktivister, veluddannede, samfundseliter, terrorister, journalister, historikere</w:t>
            </w:r>
          </w:p>
        </w:tc>
      </w:tr>
      <w:tr w:rsidR="007E7CAF" w:rsidRPr="00DD0A62" w14:paraId="44C18DC7" w14:textId="77777777" w:rsidTr="006E3BC5">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0276CE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Underholdende/kommerciel historiebrug</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388E674"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Underholdende/kommerciel historiebrug er en form for historiebrug, hvor historien bruges til at skabe underholdning og tjene penge – fx når historie bruges i film, tv-serier, computerspil eller i markedsføringen af forskellige typer af produkter eller i brandingen af historiske steder for turister.</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15FDCD8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 xml:space="preserve">Journalister, film- og computerspilsproducenter, virksomheder, museer, historikere, </w:t>
            </w:r>
            <w:proofErr w:type="spellStart"/>
            <w:r w:rsidRPr="00DD0A62">
              <w:rPr>
                <w:rFonts w:ascii="Cambria" w:eastAsia="Times New Roman" w:hAnsi="Cambria" w:cs="Times New Roman"/>
                <w:sz w:val="16"/>
                <w:szCs w:val="16"/>
                <w:lang w:eastAsia="da-DK"/>
              </w:rPr>
              <w:t>reenactere</w:t>
            </w:r>
            <w:proofErr w:type="spellEnd"/>
            <w:r w:rsidRPr="00DD0A62">
              <w:rPr>
                <w:rFonts w:ascii="Cambria" w:eastAsia="Times New Roman" w:hAnsi="Cambria" w:cs="Times New Roman"/>
                <w:sz w:val="16"/>
                <w:szCs w:val="16"/>
                <w:lang w:eastAsia="da-DK"/>
              </w:rPr>
              <w:t>, turismeudbydere, reklamebureauer</w:t>
            </w:r>
          </w:p>
        </w:tc>
      </w:tr>
    </w:tbl>
    <w:p w14:paraId="5068E2CF" w14:textId="77777777" w:rsidR="007E7CAF" w:rsidRDefault="007E7CAF" w:rsidP="007E7CAF">
      <w:pPr>
        <w:rPr>
          <w:rFonts w:ascii="Cambria" w:hAnsi="Cambria"/>
        </w:rPr>
      </w:pPr>
    </w:p>
    <w:p w14:paraId="62D1FF08" w14:textId="77777777" w:rsidR="007E7CAF" w:rsidRDefault="007E7CAF" w:rsidP="007E7CAF">
      <w:pPr>
        <w:pStyle w:val="Overskrift2"/>
        <w:shd w:val="clear" w:color="auto" w:fill="E8E3E3"/>
        <w:spacing w:after="195"/>
        <w:rPr>
          <w:rFonts w:ascii="inherit" w:hAnsi="inherit" w:cs="Arial"/>
          <w:caps/>
          <w:color w:val="333333"/>
          <w:sz w:val="18"/>
          <w:szCs w:val="18"/>
        </w:rPr>
      </w:pPr>
      <w:r>
        <w:rPr>
          <w:rFonts w:ascii="inherit" w:hAnsi="inherit" w:cs="Arial"/>
          <w:caps/>
          <w:color w:val="333333"/>
          <w:sz w:val="18"/>
          <w:szCs w:val="18"/>
        </w:rPr>
        <w:lastRenderedPageBreak/>
        <w:t>HISTORIEFAGLIG ANALYSE AF HISTORIEBRUG </w:t>
      </w:r>
      <w:r>
        <w:rPr>
          <w:rStyle w:val="label"/>
          <w:rFonts w:ascii="inherit" w:hAnsi="inherit" w:cs="Arial"/>
          <w:b/>
          <w:bCs/>
          <w:caps/>
          <w:color w:val="B2B2B2"/>
          <w:position w:val="3"/>
          <w:sz w:val="7"/>
          <w:szCs w:val="7"/>
          <w:bdr w:val="single" w:sz="6" w:space="0" w:color="DADADA" w:frame="1"/>
          <w:shd w:val="clear" w:color="auto" w:fill="FFFFFF"/>
        </w:rPr>
        <w:t>DEL</w:t>
      </w:r>
    </w:p>
    <w:p w14:paraId="2D31BBF6" w14:textId="77777777" w:rsidR="007E7CAF" w:rsidRDefault="007E7CAF" w:rsidP="007E7CAF">
      <w:pPr>
        <w:pStyle w:val="NormalWeb"/>
        <w:shd w:val="clear" w:color="auto" w:fill="E8E3E3"/>
        <w:spacing w:before="0" w:beforeAutospacing="0" w:after="240" w:afterAutospacing="0"/>
        <w:rPr>
          <w:rFonts w:ascii="Arial" w:hAnsi="Arial" w:cs="Arial"/>
          <w:color w:val="333333"/>
          <w:sz w:val="19"/>
          <w:szCs w:val="19"/>
        </w:rPr>
      </w:pPr>
      <w:r>
        <w:rPr>
          <w:rFonts w:ascii="Arial" w:hAnsi="Arial" w:cs="Arial"/>
          <w:color w:val="333333"/>
          <w:sz w:val="19"/>
          <w:szCs w:val="19"/>
        </w:rPr>
        <w:t>Når man skal analysere forskellige former for historiebrug, kan man anvende nedenstående grundspørgsmål. Man skal være opmærksom på, hvilket slags historisk materiale, man skal beskæftige sig med - og man skal grundigt overveje, om alle grundspørgsmål er lige relevante i den pågældende analysesammenhæng.</w:t>
      </w:r>
    </w:p>
    <w:p w14:paraId="68048EFA"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Hvem står bag historiebrugen?</w:t>
      </w:r>
    </w:p>
    <w:p w14:paraId="11EDF905"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kontekst er historiebrugen en del af?</w:t>
      </w:r>
    </w:p>
    <w:p w14:paraId="7176F361"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'fortid' bruges i materialet - og hvordan kommer den/det til udtryk?</w:t>
      </w:r>
    </w:p>
    <w:p w14:paraId="7B63C3C6"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form for historiebrug er der tale om?</w:t>
      </w:r>
    </w:p>
    <w:p w14:paraId="3D5A86BB"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form for tendens rummer historiebrugen?</w:t>
      </w:r>
    </w:p>
    <w:p w14:paraId="54EF7AE4"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Hvilket formål har historiebrugen?</w:t>
      </w:r>
    </w:p>
    <w:p w14:paraId="024A5732"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Hvem skal påvirkes af historiebrugen?</w:t>
      </w:r>
    </w:p>
    <w:p w14:paraId="78FFCEE2"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historiebevidsthed forsøger historiebrugen at skabe?</w:t>
      </w:r>
    </w:p>
    <w:p w14:paraId="08B0BD60" w14:textId="77777777" w:rsidR="007E7CAF" w:rsidRDefault="007E7CAF" w:rsidP="007E7CAF">
      <w:pPr>
        <w:rPr>
          <w:rFonts w:ascii="Cambria" w:hAnsi="Cambria"/>
        </w:rPr>
      </w:pPr>
    </w:p>
    <w:p w14:paraId="7F5DCD6F" w14:textId="77777777" w:rsidR="007E7CAF" w:rsidRPr="00DD0A62" w:rsidRDefault="007E7CAF" w:rsidP="007E7CAF">
      <w:pPr>
        <w:rPr>
          <w:rFonts w:ascii="Cambria" w:hAnsi="Cambria"/>
        </w:rPr>
      </w:pPr>
      <w:r>
        <w:rPr>
          <w:rFonts w:ascii="Cambria" w:hAnsi="Cambria"/>
        </w:rPr>
        <w:t xml:space="preserve">Kilde: </w:t>
      </w:r>
      <w:r w:rsidRPr="003C4C5F">
        <w:rPr>
          <w:rFonts w:ascii="Cambria" w:hAnsi="Cambria"/>
        </w:rPr>
        <w:t>https://historiefagligarbejdsbog.systime.dk/?id=186</w:t>
      </w:r>
    </w:p>
    <w:p w14:paraId="6728A5D4" w14:textId="77777777" w:rsidR="005826C0" w:rsidRDefault="005826C0"/>
    <w:sectPr w:rsidR="005826C0" w:rsidSect="001C08D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EA0"/>
    <w:multiLevelType w:val="multilevel"/>
    <w:tmpl w:val="74E4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86C25"/>
    <w:multiLevelType w:val="multilevel"/>
    <w:tmpl w:val="454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0434F"/>
    <w:multiLevelType w:val="multilevel"/>
    <w:tmpl w:val="CDF8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C3875"/>
    <w:multiLevelType w:val="multilevel"/>
    <w:tmpl w:val="4D9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829332">
    <w:abstractNumId w:val="0"/>
  </w:num>
  <w:num w:numId="2" w16cid:durableId="1436437089">
    <w:abstractNumId w:val="3"/>
  </w:num>
  <w:num w:numId="3" w16cid:durableId="1815176499">
    <w:abstractNumId w:val="1"/>
  </w:num>
  <w:num w:numId="4" w16cid:durableId="25120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F"/>
    <w:rsid w:val="001764B9"/>
    <w:rsid w:val="001C08D3"/>
    <w:rsid w:val="00482F4C"/>
    <w:rsid w:val="005826C0"/>
    <w:rsid w:val="007442D7"/>
    <w:rsid w:val="007E7CAF"/>
    <w:rsid w:val="00822CC3"/>
    <w:rsid w:val="008613E3"/>
    <w:rsid w:val="00D74A9D"/>
    <w:rsid w:val="00E22021"/>
    <w:rsid w:val="00F700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390F"/>
  <w15:chartTrackingRefBased/>
  <w15:docId w15:val="{325A5F9B-E4F7-4110-BFEC-EE72EC7B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AF"/>
  </w:style>
  <w:style w:type="paragraph" w:styleId="Overskrift2">
    <w:name w:val="heading 2"/>
    <w:basedOn w:val="Normal"/>
    <w:next w:val="Normal"/>
    <w:link w:val="Overskrift2Tegn"/>
    <w:uiPriority w:val="9"/>
    <w:semiHidden/>
    <w:unhideWhenUsed/>
    <w:qFormat/>
    <w:rsid w:val="007E7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semiHidden/>
    <w:rsid w:val="007E7CAF"/>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7E7CAF"/>
    <w:rPr>
      <w:b/>
      <w:bCs/>
    </w:rPr>
  </w:style>
  <w:style w:type="character" w:styleId="Fremhv">
    <w:name w:val="Emphasis"/>
    <w:basedOn w:val="Standardskrifttypeiafsnit"/>
    <w:uiPriority w:val="20"/>
    <w:qFormat/>
    <w:rsid w:val="007E7CAF"/>
    <w:rPr>
      <w:i/>
      <w:iCs/>
    </w:rPr>
  </w:style>
  <w:style w:type="character" w:customStyle="1" w:styleId="glossary-term">
    <w:name w:val="glossary-term"/>
    <w:basedOn w:val="Standardskrifttypeiafsnit"/>
    <w:rsid w:val="007E7CAF"/>
  </w:style>
  <w:style w:type="character" w:customStyle="1" w:styleId="label">
    <w:name w:val="label"/>
    <w:basedOn w:val="Standardskrifttypeiafsnit"/>
    <w:rsid w:val="007E7CAF"/>
  </w:style>
  <w:style w:type="paragraph" w:styleId="NormalWeb">
    <w:name w:val="Normal (Web)"/>
    <w:basedOn w:val="Normal"/>
    <w:uiPriority w:val="99"/>
    <w:semiHidden/>
    <w:unhideWhenUsed/>
    <w:rsid w:val="007E7CA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666</Words>
  <Characters>4066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10</cp:revision>
  <dcterms:created xsi:type="dcterms:W3CDTF">2021-08-15T11:25:00Z</dcterms:created>
  <dcterms:modified xsi:type="dcterms:W3CDTF">2025-09-25T07:16:00Z</dcterms:modified>
</cp:coreProperties>
</file>