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EF7" w:rsidRDefault="000967B0">
      <w:pPr>
        <w:pStyle w:val="Titel"/>
      </w:pPr>
      <w:r>
        <w:t>Tykkelsen af stanniol</w:t>
      </w:r>
    </w:p>
    <w:p w:rsidR="00181EF7" w:rsidRDefault="000967B0">
      <w:pPr>
        <w:pStyle w:val="Overskrift3"/>
        <w:rPr>
          <w:sz w:val="28"/>
          <w:szCs w:val="28"/>
        </w:rPr>
      </w:pPr>
      <w:r>
        <w:rPr>
          <w:sz w:val="28"/>
          <w:szCs w:val="28"/>
        </w:rPr>
        <w:t>Ord om densitet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1361"/>
        <w:gridCol w:w="2501"/>
        <w:gridCol w:w="2083"/>
        <w:gridCol w:w="1760"/>
      </w:tblGrid>
      <w:tr w:rsidR="00181EF7">
        <w:tc>
          <w:tcPr>
            <w:tcW w:w="1923" w:type="dxa"/>
          </w:tcPr>
          <w:p w:rsidR="00181EF7" w:rsidRDefault="000967B0">
            <w:r>
              <w:t>Dagligdags ord</w:t>
            </w:r>
          </w:p>
        </w:tc>
        <w:tc>
          <w:tcPr>
            <w:tcW w:w="1361" w:type="dxa"/>
          </w:tcPr>
          <w:p w:rsidR="00181EF7" w:rsidRDefault="000967B0">
            <w:r>
              <w:t>Fysik-ord</w:t>
            </w:r>
          </w:p>
        </w:tc>
        <w:tc>
          <w:tcPr>
            <w:tcW w:w="2501" w:type="dxa"/>
          </w:tcPr>
          <w:p w:rsidR="00181EF7" w:rsidRDefault="000967B0">
            <w:r>
              <w:t>Måles i (enheden)</w:t>
            </w:r>
          </w:p>
        </w:tc>
        <w:tc>
          <w:tcPr>
            <w:tcW w:w="2083" w:type="dxa"/>
          </w:tcPr>
          <w:p w:rsidR="00181EF7" w:rsidRDefault="000967B0">
            <w:r>
              <w:t>Bogstav (symbolet)</w:t>
            </w:r>
          </w:p>
        </w:tc>
        <w:tc>
          <w:tcPr>
            <w:tcW w:w="1760" w:type="dxa"/>
          </w:tcPr>
          <w:p w:rsidR="00181EF7" w:rsidRDefault="000967B0">
            <w:r>
              <w:t>Betydning</w:t>
            </w:r>
          </w:p>
        </w:tc>
      </w:tr>
      <w:tr w:rsidR="00181EF7">
        <w:tc>
          <w:tcPr>
            <w:tcW w:w="1923" w:type="dxa"/>
          </w:tcPr>
          <w:p w:rsidR="00181EF7" w:rsidRDefault="000967B0">
            <w:r>
              <w:t>Rumfang</w:t>
            </w:r>
          </w:p>
        </w:tc>
        <w:tc>
          <w:tcPr>
            <w:tcW w:w="1361" w:type="dxa"/>
          </w:tcPr>
          <w:p w:rsidR="00181EF7" w:rsidRDefault="000967B0">
            <w:r>
              <w:t>Volumen</w:t>
            </w:r>
          </w:p>
        </w:tc>
        <w:tc>
          <w:tcPr>
            <w:tcW w:w="2501" w:type="dxa"/>
          </w:tcPr>
          <w:p w:rsidR="00181EF7" w:rsidRDefault="000967B0">
            <w:r>
              <w:t>Kubikcentimeter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083" w:type="dxa"/>
          </w:tcPr>
          <w:p w:rsidR="00181EF7" w:rsidRDefault="000967B0">
            <w:r>
              <w:t>V</w:t>
            </w:r>
          </w:p>
        </w:tc>
        <w:tc>
          <w:tcPr>
            <w:tcW w:w="1760" w:type="dxa"/>
          </w:tcPr>
          <w:p w:rsidR="00181EF7" w:rsidRDefault="000967B0">
            <w:r>
              <w:t>Hvad det fylder</w:t>
            </w:r>
          </w:p>
        </w:tc>
      </w:tr>
      <w:tr w:rsidR="00181EF7">
        <w:tc>
          <w:tcPr>
            <w:tcW w:w="1923" w:type="dxa"/>
          </w:tcPr>
          <w:p w:rsidR="00181EF7" w:rsidRDefault="000967B0">
            <w:r>
              <w:t>Vægt</w:t>
            </w:r>
          </w:p>
        </w:tc>
        <w:tc>
          <w:tcPr>
            <w:tcW w:w="1361" w:type="dxa"/>
          </w:tcPr>
          <w:p w:rsidR="00181EF7" w:rsidRDefault="000967B0">
            <w:r>
              <w:t>Masse</w:t>
            </w:r>
          </w:p>
        </w:tc>
        <w:tc>
          <w:tcPr>
            <w:tcW w:w="2501" w:type="dxa"/>
          </w:tcPr>
          <w:p w:rsidR="00181EF7" w:rsidRDefault="000967B0">
            <w:r>
              <w:t>Gram (g)</w:t>
            </w:r>
          </w:p>
        </w:tc>
        <w:tc>
          <w:tcPr>
            <w:tcW w:w="2083" w:type="dxa"/>
          </w:tcPr>
          <w:p w:rsidR="00181EF7" w:rsidRDefault="000967B0">
            <w:r>
              <w:t>m</w:t>
            </w:r>
          </w:p>
        </w:tc>
        <w:tc>
          <w:tcPr>
            <w:tcW w:w="1760" w:type="dxa"/>
          </w:tcPr>
          <w:p w:rsidR="00181EF7" w:rsidRDefault="000967B0">
            <w:r>
              <w:t>Hvad det vejer</w:t>
            </w:r>
          </w:p>
        </w:tc>
      </w:tr>
      <w:tr w:rsidR="00181EF7">
        <w:tc>
          <w:tcPr>
            <w:tcW w:w="1923" w:type="dxa"/>
          </w:tcPr>
          <w:p w:rsidR="00181EF7" w:rsidRDefault="000967B0">
            <w:r>
              <w:t>Massefylde</w:t>
            </w:r>
          </w:p>
        </w:tc>
        <w:tc>
          <w:tcPr>
            <w:tcW w:w="1361" w:type="dxa"/>
          </w:tcPr>
          <w:p w:rsidR="00181EF7" w:rsidRDefault="000967B0">
            <w:r>
              <w:t>Densitet</w:t>
            </w:r>
          </w:p>
        </w:tc>
        <w:tc>
          <w:tcPr>
            <w:tcW w:w="2501" w:type="dxa"/>
          </w:tcPr>
          <w:p w:rsidR="00181EF7" w:rsidRDefault="000967B0">
            <w:r>
              <w:t>g/cm</w:t>
            </w:r>
            <w:r>
              <w:rPr>
                <w:vertAlign w:val="superscript"/>
              </w:rPr>
              <w:t>3</w:t>
            </w:r>
          </w:p>
        </w:tc>
        <w:tc>
          <w:tcPr>
            <w:tcW w:w="2083" w:type="dxa"/>
          </w:tcPr>
          <w:p w:rsidR="00181EF7" w:rsidRDefault="000967B0">
            <w:r>
              <w:t>ρ</w:t>
            </w:r>
          </w:p>
        </w:tc>
        <w:tc>
          <w:tcPr>
            <w:tcW w:w="1760" w:type="dxa"/>
          </w:tcPr>
          <w:p w:rsidR="00181EF7" w:rsidRDefault="000967B0">
            <w:r>
              <w:t>Se nedenfor</w:t>
            </w:r>
          </w:p>
        </w:tc>
      </w:tr>
    </w:tbl>
    <w:p w:rsidR="00181EF7" w:rsidRDefault="000967B0">
      <w:r>
        <w:t xml:space="preserve">Et stofs densitet er, hvad det vejer </w:t>
      </w:r>
      <w:r>
        <w:rPr>
          <w:i/>
        </w:rPr>
        <w:t>i forhold til</w:t>
      </w:r>
      <w:r>
        <w:t xml:space="preserve"> hvad det fylder: Bly har en stor densitet – 1 cm</w:t>
      </w:r>
      <w:r>
        <w:rPr>
          <w:vertAlign w:val="superscript"/>
        </w:rPr>
        <w:t>3</w:t>
      </w:r>
      <w:r>
        <w:t xml:space="preserve"> vejer 11.34 g. Flamingo har en lille densitet – 1 cm</w:t>
      </w:r>
      <w:r>
        <w:rPr>
          <w:vertAlign w:val="superscript"/>
        </w:rPr>
        <w:t>3</w:t>
      </w:r>
      <w:r>
        <w:t xml:space="preserve"> vejer kun 0,025 g</w:t>
      </w:r>
    </w:p>
    <w:p w:rsidR="00181EF7" w:rsidRDefault="000967B0">
      <w:pPr>
        <w:pStyle w:val="Overskrift1"/>
      </w:pPr>
      <w:r>
        <w:t>Hvor stor er densiteten af aluminium?</w:t>
      </w:r>
    </w:p>
    <w:p w:rsidR="00181EF7" w:rsidRDefault="00E62E65">
      <w:r>
        <w:t>For at beregne c</w:t>
      </w:r>
      <w:r w:rsidR="000967B0">
        <w:t>ylinderens volumen</w:t>
      </w:r>
      <w:r>
        <w:t>,</w:t>
      </w:r>
      <w:r w:rsidR="000967B0">
        <w:t xml:space="preserve"> måles </w:t>
      </w:r>
      <w:r>
        <w:t xml:space="preserve">dens diameter og længde </w:t>
      </w:r>
      <w:r w:rsidR="000967B0">
        <w:t xml:space="preserve">med </w:t>
      </w:r>
      <w:r>
        <w:t xml:space="preserve">en lineal eller en </w:t>
      </w:r>
      <w:r w:rsidR="000967B0">
        <w:t>skydelære:</w:t>
      </w:r>
    </w:p>
    <w:p w:rsidR="00181EF7" w:rsidRDefault="000967B0" w:rsidP="00E62E65">
      <w:pPr>
        <w:ind w:firstLine="720"/>
      </w:pPr>
      <w:r>
        <w:t>Cylinderens diameter er: ________ mm = __________ cm</w:t>
      </w:r>
    </w:p>
    <w:p w:rsidR="00181EF7" w:rsidRDefault="000967B0" w:rsidP="00E62E65">
      <w:pPr>
        <w:ind w:firstLine="720"/>
      </w:pPr>
      <w:r>
        <w:t>Cylinderens længde er: ________ mm = __________ cm</w:t>
      </w:r>
    </w:p>
    <w:p w:rsidR="00E62E65" w:rsidRDefault="000967B0">
      <w:pPr>
        <w:rPr>
          <w:rFonts w:eastAsiaTheme="minorEastAsia"/>
        </w:rPr>
      </w:pPr>
      <w:r>
        <w:t xml:space="preserve">Beregn cylinderens volumen </w:t>
      </w:r>
      <w:r w:rsidR="00E62E65">
        <w:t>ved at bruge denne formel</w:t>
      </w:r>
      <w:r>
        <w:t>:</w:t>
      </w:r>
      <w:r w:rsidR="00E62E65">
        <w:t xml:space="preserve"> </w:t>
      </w:r>
      <m:oMath>
        <m:r>
          <m:rPr>
            <m:sty m:val="p"/>
          </m:rPr>
          <w:rPr>
            <w:rFonts w:ascii="Cambria Math" w:hAnsi="Cambria Math"/>
          </w:rPr>
          <m:t>Volumen=længde⋅π⋅radius·radius</m:t>
        </m:r>
      </m:oMath>
    </w:p>
    <w:p w:rsidR="00E62E65" w:rsidRDefault="00E62E65" w:rsidP="00E62E65">
      <w:pPr>
        <w:ind w:firstLine="720"/>
        <w:rPr>
          <w:rFonts w:eastAsiaTheme="minorEastAsia"/>
        </w:rPr>
      </w:pPr>
      <w:r>
        <w:rPr>
          <w:rFonts w:eastAsiaTheme="minorEastAsia"/>
        </w:rPr>
        <w:t>Cylinderens volumen er _______ cm</w:t>
      </w:r>
      <w:r w:rsidRPr="00E62E65">
        <w:rPr>
          <w:rFonts w:eastAsiaTheme="minorEastAsia"/>
          <w:vertAlign w:val="superscript"/>
        </w:rPr>
        <w:t>3</w:t>
      </w:r>
    </w:p>
    <w:p w:rsidR="00E62E65" w:rsidRDefault="000967B0">
      <w:r>
        <w:t>Mål cylinderens masse med en vægt</w:t>
      </w:r>
      <w:r w:rsidR="00E62E65">
        <w:t>.</w:t>
      </w:r>
    </w:p>
    <w:p w:rsidR="00181EF7" w:rsidRDefault="000967B0" w:rsidP="00E62E65">
      <w:pPr>
        <w:ind w:firstLine="720"/>
      </w:pPr>
      <w:r>
        <w:t>Vægten af cylinderen er: _____</w:t>
      </w:r>
      <w:r>
        <w:t>___ g</w:t>
      </w:r>
    </w:p>
    <w:p w:rsidR="00181EF7" w:rsidRDefault="000967B0">
      <w:r>
        <w:t xml:space="preserve">Beregn cylinderens densitet </w:t>
      </w:r>
      <w:r w:rsidR="00E62E65">
        <w:t>ved at bruge denne formel</w:t>
      </w:r>
      <w:r>
        <w:t>:</w:t>
      </w:r>
    </w:p>
    <w:p w:rsidR="00181EF7" w:rsidRDefault="00E62E65">
      <w:pPr>
        <w:jc w:val="center"/>
        <w:rPr>
          <w:rFonts w:ascii="Cambria Math" w:eastAsia="Cambria Math" w:hAnsi="Cambria Math" w:cs="Cambria Math"/>
        </w:rPr>
      </w:pPr>
      <m:oMathPara>
        <m:oMath>
          <m:r>
            <m:rPr>
              <m:sty m:val="p"/>
            </m:rPr>
            <w:rPr>
              <w:rFonts w:ascii="Cambria Math" w:eastAsia="Cambria Math" w:hAnsi="Cambria Math" w:cs="Cambria Math"/>
            </w:rPr>
            <m:t>densitet=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masse</m:t>
              </m:r>
            </m:num>
            <m:den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volumen</m:t>
              </m:r>
            </m:den>
          </m:f>
          <m:r>
            <m:rPr>
              <m:sty m:val="p"/>
            </m:rPr>
            <w:rPr>
              <w:rFonts w:ascii="Cambria Math" w:eastAsia="Cambria Math" w:hAnsi="Cambria Math" w:cs="Cambria Math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 xml:space="preserve">                          g</m:t>
              </m:r>
            </m:num>
            <m:den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 xml:space="preserve">                         c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Cambria Math" w:hAnsi="Cambria Math" w:cs="Cambria Math"/>
            </w:rPr>
            <m:t>=</m:t>
          </m:r>
          <m:bar>
            <m:barPr>
              <m:ctrlPr>
                <w:rPr>
                  <w:rFonts w:ascii="Cambria Math" w:eastAsia="Cambria Math" w:hAnsi="Cambria Math" w:cs="Cambria Math"/>
                </w:rPr>
              </m:ctrlPr>
            </m:bar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 xml:space="preserve">                           </m:t>
              </m:r>
            </m:e>
          </m:bar>
          <m:r>
            <w:rPr>
              <w:rFonts w:ascii="Cambria Math" w:eastAsia="Cambria Math" w:hAnsi="Cambria Math" w:cs="Cambria Math"/>
            </w:rPr>
            <m:t xml:space="preserve"> </m:t>
          </m:r>
          <m:r>
            <m:rPr>
              <m:sty m:val="p"/>
            </m:rPr>
            <w:rPr>
              <w:rFonts w:ascii="Cambria Math" w:eastAsia="Cambria Math" w:hAnsi="Cambria Math" w:cs="Cambria Math"/>
            </w:rPr>
            <m:t>g/c</m:t>
          </m:r>
          <m:sSup>
            <m:sSupPr>
              <m:ctrlPr>
                <w:rPr>
                  <w:rFonts w:ascii="Cambria Math" w:eastAsia="Cambria Math" w:hAnsi="Cambria Math" w:cs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3</m:t>
              </m:r>
            </m:sup>
          </m:sSup>
        </m:oMath>
      </m:oMathPara>
    </w:p>
    <w:p w:rsidR="00181EF7" w:rsidRDefault="00181EF7"/>
    <w:p w:rsidR="00181EF7" w:rsidRDefault="000967B0">
      <w:pPr>
        <w:rPr>
          <w:b/>
          <w:sz w:val="28"/>
          <w:szCs w:val="28"/>
        </w:rPr>
      </w:pPr>
      <w:r>
        <w:br w:type="page"/>
      </w:r>
    </w:p>
    <w:p w:rsidR="00181EF7" w:rsidRDefault="000967B0">
      <w:pPr>
        <w:pStyle w:val="Overskrift1"/>
      </w:pPr>
      <w:r>
        <w:lastRenderedPageBreak/>
        <w:t>Hvor tykt er stanniol?</w:t>
      </w:r>
    </w:p>
    <w:p w:rsidR="00181EF7" w:rsidRDefault="000967B0">
      <w:r>
        <w:t xml:space="preserve">Stanniol (sølvpapir) er lavet af aluminium. Ordet stanniol kommer af det latinske ord </w:t>
      </w:r>
      <w:proofErr w:type="spellStart"/>
      <w:r>
        <w:t>stannum</w:t>
      </w:r>
      <w:proofErr w:type="spellEnd"/>
      <w:r>
        <w:t>, som betyder tin. Stanniol var tidligere lavet af metallet tin. Der er heller ikke sølv i sølvpapir - det er alt for dyrt, men det ligner sølv.</w:t>
      </w:r>
    </w:p>
    <w:p w:rsidR="00181EF7" w:rsidRDefault="000967B0">
      <w:r>
        <w:t>Man kan</w:t>
      </w:r>
      <w:r w:rsidR="0094441C">
        <w:t xml:space="preserve"> beregne</w:t>
      </w:r>
      <w:r>
        <w:t xml:space="preserve"> tykk</w:t>
      </w:r>
      <w:r>
        <w:t>elsen af et stykke stanniol ved at veje det. Det kræver blot at man ved hvor stort stykket er</w:t>
      </w:r>
      <w:r w:rsidR="0094441C">
        <w:t>,</w:t>
      </w:r>
      <w:r>
        <w:t xml:space="preserve"> og at man kender aluminiums densitet. Klip et stykke stanniol ud og mål </w:t>
      </w:r>
      <w:r w:rsidR="0094441C">
        <w:t xml:space="preserve">stykkets </w:t>
      </w:r>
      <w:r>
        <w:t>længde og bredde. Mål også massen ved at veje det.</w:t>
      </w:r>
    </w:p>
    <w:p w:rsidR="00181EF7" w:rsidRDefault="000967B0" w:rsidP="0094441C">
      <w:pPr>
        <w:ind w:firstLine="720"/>
      </w:pPr>
      <w:r>
        <w:t>Stykkets længde er _____________ cm</w:t>
      </w:r>
    </w:p>
    <w:p w:rsidR="00181EF7" w:rsidRDefault="000967B0" w:rsidP="0094441C">
      <w:pPr>
        <w:ind w:firstLine="720"/>
      </w:pPr>
      <w:r>
        <w:t>S</w:t>
      </w:r>
      <w:r>
        <w:t>tykkets bredde er _____________ cm</w:t>
      </w:r>
    </w:p>
    <w:p w:rsidR="00181EF7" w:rsidRDefault="000967B0" w:rsidP="0094441C">
      <w:pPr>
        <w:ind w:firstLine="720"/>
      </w:pPr>
      <w:r>
        <w:t>Stykkets masse er ______________ g</w:t>
      </w:r>
    </w:p>
    <w:p w:rsidR="00181EF7" w:rsidRDefault="000967B0">
      <w:r>
        <w:t xml:space="preserve">Beregn først volumen af stanniolstykket ved at buge den densitet af aluminium I fandt frem til før: </w:t>
      </w:r>
    </w:p>
    <w:p w:rsidR="00181EF7" w:rsidRDefault="0094441C">
      <w:pPr>
        <w:jc w:val="center"/>
        <w:rPr>
          <w:rFonts w:ascii="Cambria Math" w:eastAsia="Cambria Math" w:hAnsi="Cambria Math" w:cs="Cambria Math"/>
        </w:rPr>
      </w:pPr>
      <m:oMathPara>
        <m:oMath>
          <m:r>
            <m:rPr>
              <m:sty m:val="p"/>
            </m:rPr>
            <w:rPr>
              <w:rFonts w:ascii="Cambria Math" w:eastAsia="Cambria Math" w:hAnsi="Cambria Math" w:cs="Cambria Math"/>
            </w:rPr>
            <m:t>Volumen =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masse</m:t>
              </m:r>
            </m:num>
            <m:den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 xml:space="preserve"> massefylde</m:t>
              </m:r>
            </m:den>
          </m:f>
          <m:r>
            <m:rPr>
              <m:sty m:val="p"/>
            </m:rPr>
            <w:rPr>
              <w:rFonts w:ascii="Cambria Math" w:eastAsia="Cambria Math" w:hAnsi="Cambria Math" w:cs="Cambria Math"/>
            </w:rPr>
            <m:t xml:space="preserve">= 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 xml:space="preserve">                         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g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 xml:space="preserve">                              </m:t>
              </m:r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c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sup>
                  </m:sSup>
                </m:den>
              </m:f>
            </m:den>
          </m:f>
          <m:r>
            <w:rPr>
              <w:rFonts w:ascii="Cambria Math" w:eastAsia="Cambria Math" w:hAnsi="Cambria Math" w:cs="Cambria Math"/>
            </w:rPr>
            <m:t>=</m:t>
          </m:r>
          <m:bar>
            <m:barPr>
              <m:ctrlPr>
                <w:rPr>
                  <w:rFonts w:ascii="Cambria Math" w:eastAsia="Cambria Math" w:hAnsi="Cambria Math" w:cs="Cambria Math"/>
                </w:rPr>
              </m:ctrlPr>
            </m:barPr>
            <m:e>
              <m:r>
                <w:rPr>
                  <w:rFonts w:ascii="Cambria Math" w:eastAsia="Cambria Math" w:hAnsi="Cambria Math" w:cs="Cambria Math"/>
                </w:rPr>
                <m:t xml:space="preserve">                                    </m:t>
              </m:r>
            </m:e>
          </m:bar>
          <m:r>
            <m:rPr>
              <m:sty m:val="p"/>
            </m:rPr>
            <w:rPr>
              <w:rFonts w:ascii="Cambria Math" w:eastAsia="Cambria Math" w:hAnsi="Cambria Math" w:cs="Cambria Math"/>
            </w:rPr>
            <m:t>c</m:t>
          </m:r>
          <m:sSup>
            <m:sSupPr>
              <m:ctrlPr>
                <w:rPr>
                  <w:rFonts w:ascii="Cambria Math" w:eastAsia="Cambria Math" w:hAnsi="Cambria Math" w:cs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3</m:t>
              </m:r>
            </m:sup>
          </m:sSup>
        </m:oMath>
      </m:oMathPara>
    </w:p>
    <w:p w:rsidR="00181EF7" w:rsidRDefault="000967B0">
      <w:r>
        <w:t>Beregn derefter arealet af stykket:</w:t>
      </w:r>
    </w:p>
    <w:p w:rsidR="00181EF7" w:rsidRDefault="0094441C">
      <w:pPr>
        <w:jc w:val="center"/>
        <w:rPr>
          <w:rFonts w:ascii="Cambria Math" w:eastAsia="Cambria Math" w:hAnsi="Cambria Math" w:cs="Cambria Math"/>
        </w:rPr>
      </w:pPr>
      <m:oMathPara>
        <m:oMath>
          <m:r>
            <m:rPr>
              <m:sty m:val="p"/>
            </m:rPr>
            <w:rPr>
              <w:rFonts w:ascii="Cambria Math" w:eastAsia="Cambria Math" w:hAnsi="Cambria Math" w:cs="Cambria Math"/>
            </w:rPr>
            <m:t>Areal=længde⋅bredde=</m:t>
          </m:r>
          <m:bar>
            <m:barPr>
              <m:ctrlPr>
                <w:rPr>
                  <w:rFonts w:ascii="Cambria Math" w:eastAsia="Cambria Math" w:hAnsi="Cambria Math" w:cs="Cambria Math"/>
                </w:rPr>
              </m:ctrlPr>
            </m:barPr>
            <m:e>
              <m:r>
                <w:rPr>
                  <w:rFonts w:ascii="Cambria Math" w:eastAsia="Cambria Math" w:hAnsi="Cambria Math" w:cs="Cambria Math"/>
                </w:rPr>
                <m:t xml:space="preserve">               </m:t>
              </m:r>
            </m:e>
          </m:bar>
          <m:r>
            <m:rPr>
              <m:sty m:val="p"/>
            </m:rPr>
            <w:rPr>
              <w:rFonts w:ascii="Cambria Math" w:eastAsia="Cambria Math" w:hAnsi="Cambria Math" w:cs="Cambria Math"/>
            </w:rPr>
            <m:t xml:space="preserve"> cm</m:t>
          </m:r>
          <m:r>
            <w:rPr>
              <w:rFonts w:ascii="Cambria Math" w:eastAsia="Cambria Math" w:hAnsi="Cambria Math" w:cs="Cambria Math"/>
            </w:rPr>
            <m:t>⋅</m:t>
          </m:r>
          <m:bar>
            <m:barPr>
              <m:ctrlPr>
                <w:rPr>
                  <w:rFonts w:ascii="Cambria Math" w:eastAsia="Cambria Math" w:hAnsi="Cambria Math" w:cs="Cambria Math"/>
                </w:rPr>
              </m:ctrlPr>
            </m:barPr>
            <m:e>
              <m:r>
                <w:rPr>
                  <w:rFonts w:ascii="Cambria Math" w:eastAsia="Cambria Math" w:hAnsi="Cambria Math" w:cs="Cambria Math"/>
                </w:rPr>
                <m:t xml:space="preserve">                 </m:t>
              </m:r>
            </m:e>
          </m:bar>
          <m:r>
            <m:rPr>
              <m:sty m:val="p"/>
            </m:rPr>
            <w:rPr>
              <w:rFonts w:ascii="Cambria Math" w:eastAsia="Cambria Math" w:hAnsi="Cambria Math" w:cs="Cambria Math"/>
            </w:rPr>
            <m:t xml:space="preserve"> cm</m:t>
          </m:r>
          <m:r>
            <w:rPr>
              <w:rFonts w:ascii="Cambria Math" w:eastAsia="Cambria Math" w:hAnsi="Cambria Math" w:cs="Cambria Math"/>
            </w:rPr>
            <m:t>=</m:t>
          </m:r>
          <m:bar>
            <m:barPr>
              <m:ctrlPr>
                <w:rPr>
                  <w:rFonts w:ascii="Cambria Math" w:eastAsia="Cambria Math" w:hAnsi="Cambria Math" w:cs="Cambria Math"/>
                </w:rPr>
              </m:ctrlPr>
            </m:barPr>
            <m:e>
              <m:r>
                <w:rPr>
                  <w:rFonts w:ascii="Cambria Math" w:eastAsia="Cambria Math" w:hAnsi="Cambria Math" w:cs="Cambria Math"/>
                </w:rPr>
                <m:t xml:space="preserve">               </m:t>
              </m:r>
            </m:e>
          </m:bar>
          <m:r>
            <m:rPr>
              <m:sty m:val="p"/>
            </m:rPr>
            <w:rPr>
              <w:rFonts w:ascii="Cambria Math" w:eastAsia="Cambria Math" w:hAnsi="Cambria Math" w:cs="Cambria Math"/>
            </w:rPr>
            <m:t>c</m:t>
          </m:r>
          <m:sSup>
            <m:sSupPr>
              <m:ctrlPr>
                <w:rPr>
                  <w:rFonts w:ascii="Cambria Math" w:eastAsia="Cambria Math" w:hAnsi="Cambria Math" w:cs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</w:rPr>
            <m:t xml:space="preserve"> </m:t>
          </m:r>
        </m:oMath>
      </m:oMathPara>
    </w:p>
    <w:p w:rsidR="00181EF7" w:rsidRDefault="000967B0">
      <w:r>
        <w:t xml:space="preserve">Man kan også bregne volumen ved at </w:t>
      </w:r>
      <w:r>
        <w:t>sige</w:t>
      </w:r>
      <w:r w:rsidR="0094441C">
        <w:t>,</w:t>
      </w:r>
      <w:r>
        <w:t xml:space="preserve"> at stykket er en meget flad kasse:</w:t>
      </w:r>
    </w:p>
    <w:p w:rsidR="00181EF7" w:rsidRPr="0094441C" w:rsidRDefault="0094441C">
      <w:pPr>
        <w:jc w:val="center"/>
        <w:rPr>
          <w:rFonts w:ascii="Cambria Math" w:eastAsia="Cambria Math" w:hAnsi="Cambria Math" w:cs="Cambria Math"/>
        </w:rPr>
      </w:pPr>
      <m:oMathPara>
        <m:oMath>
          <m:r>
            <m:rPr>
              <m:sty m:val="p"/>
            </m:rPr>
            <w:rPr>
              <w:rFonts w:ascii="Cambria Math" w:eastAsia="Cambria Math" w:hAnsi="Cambria Math" w:cs="Cambria Math"/>
            </w:rPr>
            <m:t>Volumen=areal⋅tykkelse</m:t>
          </m:r>
        </m:oMath>
      </m:oMathPara>
    </w:p>
    <w:p w:rsidR="00181EF7" w:rsidRDefault="000967B0">
      <w:bookmarkStart w:id="0" w:name="_heading=h.gjdgxs" w:colFirst="0" w:colLast="0"/>
      <w:bookmarkEnd w:id="0"/>
      <w:r>
        <w:t xml:space="preserve">Ved at kombinere de to måder, kan man </w:t>
      </w:r>
      <w:r w:rsidR="0094441C">
        <w:t>beregne</w:t>
      </w:r>
      <w:r>
        <w:t xml:space="preserve"> tykkelsen:</w:t>
      </w:r>
    </w:p>
    <w:p w:rsidR="00181EF7" w:rsidRPr="0094441C" w:rsidRDefault="0094441C">
      <w:pPr>
        <w:jc w:val="center"/>
        <w:rPr>
          <w:rFonts w:ascii="Cambria Math" w:eastAsia="Cambria Math" w:hAnsi="Cambria Math" w:cs="Cambria Math"/>
        </w:rPr>
      </w:pPr>
      <m:oMathPara>
        <m:oMath>
          <m:r>
            <m:rPr>
              <m:sty m:val="p"/>
            </m:rPr>
            <w:rPr>
              <w:rFonts w:ascii="Cambria Math" w:eastAsia="Cambria Math" w:hAnsi="Cambria Math" w:cs="Cambria Math"/>
            </w:rPr>
            <m:t>tykkelse=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volumen</m:t>
              </m:r>
            </m:num>
            <m:den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areal</m:t>
              </m:r>
            </m:den>
          </m:f>
          <m:r>
            <m:rPr>
              <m:sty m:val="p"/>
            </m:rPr>
            <w:rPr>
              <w:rFonts w:ascii="Cambria Math" w:eastAsia="Cambria Math" w:hAnsi="Cambria Math" w:cs="Cambria Math"/>
            </w:rPr>
            <m:t>=</m:t>
          </m:r>
          <m:bar>
            <m:barPr>
              <m:ctrlPr>
                <w:rPr>
                  <w:rFonts w:ascii="Cambria Math" w:eastAsia="Cambria Math" w:hAnsi="Cambria Math" w:cs="Cambria Math"/>
                </w:rPr>
              </m:ctrlPr>
            </m:bar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 xml:space="preserve">                   </m:t>
              </m:r>
            </m:e>
          </m:bar>
          <m:r>
            <m:rPr>
              <m:sty m:val="p"/>
            </m:rPr>
            <w:rPr>
              <w:rFonts w:ascii="Cambria Math" w:eastAsia="Cambria Math" w:hAnsi="Cambria Math" w:cs="Cambria Math"/>
            </w:rPr>
            <m:t>cm=</m:t>
          </m:r>
          <m:bar>
            <m:barPr>
              <m:ctrlPr>
                <w:rPr>
                  <w:rFonts w:ascii="Cambria Math" w:eastAsia="Cambria Math" w:hAnsi="Cambria Math" w:cs="Cambria Math"/>
                </w:rPr>
              </m:ctrlPr>
            </m:bar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 xml:space="preserve">                </m:t>
              </m:r>
            </m:e>
          </m:bar>
          <m:r>
            <m:rPr>
              <m:sty m:val="p"/>
            </m:rPr>
            <w:rPr>
              <w:rFonts w:ascii="Cambria Math" w:eastAsia="Cambria Math" w:hAnsi="Cambria Math" w:cs="Cambria Math"/>
            </w:rPr>
            <m:t xml:space="preserve"> mm</m:t>
          </m:r>
        </m:oMath>
      </m:oMathPara>
    </w:p>
    <w:p w:rsidR="00181EF7" w:rsidRDefault="000967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eastAsia="Cambria" w:cs="Cambria"/>
          <w:b/>
          <w:sz w:val="32"/>
          <w:szCs w:val="32"/>
        </w:rPr>
      </w:pPr>
      <w:r>
        <w:rPr>
          <w:rFonts w:eastAsia="Cambria" w:cs="Cambria"/>
          <w:b/>
          <w:sz w:val="32"/>
          <w:szCs w:val="32"/>
        </w:rPr>
        <w:t>Beregn tykkelsen af stann</w:t>
      </w:r>
      <w:r>
        <w:rPr>
          <w:rFonts w:eastAsia="Cambria" w:cs="Cambria"/>
          <w:b/>
          <w:sz w:val="32"/>
          <w:szCs w:val="32"/>
        </w:rPr>
        <w:t>iol ud fra dine måleresultater</w:t>
      </w:r>
    </w:p>
    <w:p w:rsidR="00181EF7" w:rsidRDefault="000967B0">
      <w:r>
        <w:t>Ekstra opgave: Hvor mange lag stanniol skal man lægge oven på hinanden</w:t>
      </w:r>
      <w:r w:rsidR="0094441C">
        <w:t>,</w:t>
      </w:r>
      <w:r>
        <w:t xml:space="preserve"> for at laget bliver 1 m</w:t>
      </w:r>
      <w:bookmarkStart w:id="1" w:name="_GoBack"/>
      <w:bookmarkEnd w:id="1"/>
      <w:r>
        <w:t>m?</w:t>
      </w:r>
    </w:p>
    <w:sectPr w:rsidR="00181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7B0" w:rsidRDefault="000967B0">
      <w:pPr>
        <w:spacing w:after="0" w:line="240" w:lineRule="auto"/>
      </w:pPr>
      <w:r>
        <w:separator/>
      </w:r>
    </w:p>
  </w:endnote>
  <w:endnote w:type="continuationSeparator" w:id="0">
    <w:p w:rsidR="000967B0" w:rsidRDefault="0009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EF7" w:rsidRDefault="00181E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EF7" w:rsidRDefault="00181E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EF7" w:rsidRDefault="00181E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7B0" w:rsidRDefault="000967B0">
      <w:pPr>
        <w:spacing w:after="0" w:line="240" w:lineRule="auto"/>
      </w:pPr>
      <w:r>
        <w:separator/>
      </w:r>
    </w:p>
  </w:footnote>
  <w:footnote w:type="continuationSeparator" w:id="0">
    <w:p w:rsidR="000967B0" w:rsidRDefault="0009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EF7" w:rsidRDefault="00181E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EF7" w:rsidRDefault="00181E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EF7" w:rsidRDefault="00181E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F7"/>
    <w:rsid w:val="000967B0"/>
    <w:rsid w:val="00181EF7"/>
    <w:rsid w:val="0094441C"/>
    <w:rsid w:val="00E6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CC83"/>
  <w15:docId w15:val="{59A7B8B9-397D-41EF-A4AA-928611F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E65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62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62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62E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2E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62E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62E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62E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62E6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62E6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E62E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Pladsholdertekst">
    <w:name w:val="Placeholder Text"/>
    <w:basedOn w:val="Standardskrifttypeiafsnit"/>
    <w:uiPriority w:val="99"/>
    <w:semiHidden/>
    <w:rsid w:val="009C2276"/>
    <w:rPr>
      <w:color w:val="808080"/>
    </w:rPr>
  </w:style>
  <w:style w:type="paragraph" w:styleId="Markeringsbobletekst">
    <w:name w:val="Balloon Text"/>
    <w:basedOn w:val="Normal"/>
    <w:link w:val="MarkeringsbobletekstTegn"/>
    <w:rsid w:val="009C227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C2276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62E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elTegn">
    <w:name w:val="Titel Tegn"/>
    <w:basedOn w:val="Standardskrifttypeiafsnit"/>
    <w:link w:val="Titel"/>
    <w:uiPriority w:val="10"/>
    <w:rsid w:val="00E62E6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idehoved">
    <w:name w:val="header"/>
    <w:basedOn w:val="Normal"/>
    <w:link w:val="SidehovedTegn"/>
    <w:unhideWhenUsed/>
    <w:rsid w:val="00BD196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D196F"/>
    <w:rPr>
      <w:sz w:val="24"/>
      <w:szCs w:val="24"/>
    </w:rPr>
  </w:style>
  <w:style w:type="paragraph" w:styleId="Sidefod">
    <w:name w:val="footer"/>
    <w:basedOn w:val="Normal"/>
    <w:link w:val="SidefodTegn"/>
    <w:unhideWhenUsed/>
    <w:rsid w:val="00BD196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BD196F"/>
    <w:rPr>
      <w:sz w:val="24"/>
      <w:szCs w:val="24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62E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E62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62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62E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62E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62E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62E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62E6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62E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62E6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62E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E62E65"/>
    <w:rPr>
      <w:b/>
      <w:bCs/>
    </w:rPr>
  </w:style>
  <w:style w:type="character" w:styleId="Fremhv">
    <w:name w:val="Emphasis"/>
    <w:basedOn w:val="Standardskrifttypeiafsnit"/>
    <w:uiPriority w:val="20"/>
    <w:qFormat/>
    <w:rsid w:val="00E62E65"/>
    <w:rPr>
      <w:i/>
      <w:iCs/>
    </w:rPr>
  </w:style>
  <w:style w:type="paragraph" w:styleId="Ingenafstand">
    <w:name w:val="No Spacing"/>
    <w:uiPriority w:val="1"/>
    <w:qFormat/>
    <w:rsid w:val="00E62E65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E62E65"/>
    <w:rPr>
      <w:rFonts w:asciiTheme="minorHAnsi" w:hAnsiTheme="minorHAnsi"/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62E65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62E6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62E65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E62E65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E62E65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E62E65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E62E65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E62E65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62E6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5O1bBNheKVbwp794HvQO3K543A==">CgMxLjAyCGguZ2pkZ3hzOAByITEyUTVFTURXRzlNWnU0TWlBMlh3aTJicjMwSTR5U2RrMg==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Skaaning Olsen</cp:lastModifiedBy>
  <cp:revision>2</cp:revision>
  <dcterms:created xsi:type="dcterms:W3CDTF">2017-08-14T18:37:00Z</dcterms:created>
  <dcterms:modified xsi:type="dcterms:W3CDTF">2023-10-10T12:30:00Z</dcterms:modified>
</cp:coreProperties>
</file>